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0" w:after="400"/>
        <w:jc w:val="center"/>
      </w:pPr>
      <w:r>
        <w:rPr>
          <w:rFonts w:ascii="Microsoft YaHei" w:hAnsi="Microsoft YaHei" w:eastAsia="Microsoft YaHei"/>
          <w:b/>
          <w:color w:val="1F3A68"/>
          <w:sz w:val="52"/>
        </w:rPr>
        <w:t>浪潮信息（000977.SZ）</w:t>
      </w:r>
    </w:p>
    <w:p>
      <w:pPr>
        <w:spacing w:after="1200"/>
        <w:jc w:val="center"/>
      </w:pPr>
      <w:r>
        <w:rPr>
          <w:rFonts w:ascii="Microsoft YaHei" w:hAnsi="Microsoft YaHei" w:eastAsia="Microsoft YaHei"/>
          <w:b/>
          <w:color w:val="2C5F9E"/>
          <w:sz w:val="40"/>
        </w:rPr>
        <w:t>2024—2026 年业绩深度分析报告</w:t>
      </w:r>
    </w:p>
    <w:p>
      <w:pPr>
        <w:spacing w:after="2400"/>
        <w:jc w:val="center"/>
      </w:pPr>
      <w:r>
        <w:rPr>
          <w:rFonts w:ascii="Microsoft YaHei" w:hAnsi="Microsoft YaHei" w:eastAsia="Microsoft YaHei"/>
          <w:i/>
          <w:color w:val="666666"/>
          <w:sz w:val="30"/>
        </w:rPr>
        <w:t>—— 海外业务专题研究（含 Kaytus、Aivres 深度分析） ——</w:t>
      </w:r>
    </w:p>
    <w:p>
      <w:pPr>
        <w:jc w:val="center"/>
      </w:pPr>
      <w:r>
        <w:rPr>
          <w:rFonts w:ascii="Microsoft YaHei" w:hAnsi="Microsoft YaHei" w:eastAsia="Microsoft YaHei"/>
          <w:color w:val="555555"/>
          <w:sz w:val="22"/>
        </w:rPr>
        <w:t>编制日期：2026年08月31日</w:t>
        <w:br/>
        <w:t>分析师：资深科技行业研究团队</w:t>
        <w:br/>
        <w:t>报告类型：机构投研 · 高层决策参考</w:t>
      </w:r>
    </w:p>
    <w:p>
      <w:r>
        <w:br w:type="page"/>
      </w:r>
    </w:p>
    <w:p>
      <w:pPr>
        <w:pStyle w:val="Heading1"/>
      </w:pPr>
      <w:r>
        <w:rPr>
          <w:rFonts w:ascii="Microsoft YaHei" w:hAnsi="Microsoft YaHei" w:eastAsia="Microsoft YaHei"/>
          <w:color w:val="1F3A68"/>
          <w:sz w:val="32"/>
        </w:rPr>
        <w:t>摘 要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浪潮信息（000977.SZ）是全球前二、中国第一的服务器与智慧计算龙头，控股股东为浪潮集团，实控人为山东省国资委。2024—2026 年是公司身处 AI 算力爆发与中美科技脱钩深度博弈的三年：一方面，公司在生成式 AI 与大模型一体机需求驱动下，营业收入由 2023 年的约 660 亿元跃升至2025 年的 1,647.82 亿元（同比+43.25%），并在 2026 年上半年实现营收 843.79 亿元（+5.22%）、归母净利润 29.52 亿元（同比+269.59%）、毛利率回升至 8.74%（同比+4.23 pct），进入历史最佳盈利窗口；另一方面，公司在 2023 年首次被列入美国实体清单，2025 年 3 月再次被扩大化制裁——大陆、香港、台湾子公司全部上榜，叠加 2025 年初《人工智能扩散暂行最终规则》与同年 5 月特朗普政府的"撤销 + 加码"组合拳，对公司海外业务、产品供货、客户合作构成系统性冲击。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本报告基于公司 2024 年至 2026 年公开财报、半年报、业绩预告、监管文件、行业研究及新闻披露，从整体业绩、国内业务、海外业务（含运作模式、出口管制影响、海外机构、大客户案例）、以及海外核心子公司 Kaytus 与 Aivres 的深度分析等多个维度进行系统研究。核心结论：（一）海外业务从 2024 年上半年的 122.64 亿元、占比 29.16%，跃升为 2024 年全年约 340 亿元、占比近 30%，是三年内最重要的增长引擎；（二）海外业务毛利率长期低于国内（2024H1 仅 7.20%），对汇率、芯片进口和地缘风险高度敏感；（三）美国出口禁令已从"上游断供"向"客户流失、合规溢价、品牌受损"四重路径传导；（四）公司通过 Kaytus（全球品牌）、Aivres（美国子公司）等海外平台实施"品牌隔离 + 本地化运营"策略对冲制裁冲击；（五）展望 2026 下半年及之后，国产 GPU 替代与一体机放量将带动盈利能力回升，但海外业务的不确定性仍将持续。</w:t>
      </w:r>
    </w:p>
    <w:p>
      <w:pPr>
        <w:pStyle w:val="Heading2"/>
      </w:pPr>
      <w:r>
        <w:rPr>
          <w:rFonts w:ascii="Microsoft YaHei" w:hAnsi="Microsoft YaHei" w:eastAsia="Microsoft YaHei"/>
          <w:color w:val="2C5F9E"/>
          <w:sz w:val="26"/>
        </w:rPr>
        <w:t>关键财务摘要（2024—2026H1）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814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指标</w:t>
            </w:r>
          </w:p>
        </w:tc>
        <w:tc>
          <w:tcPr>
            <w:tcW w:type="dxa" w:w="1474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2023A</w:t>
            </w:r>
          </w:p>
        </w:tc>
        <w:tc>
          <w:tcPr>
            <w:tcW w:type="dxa" w:w="1361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2024A（全年实际）</w:t>
            </w:r>
          </w:p>
        </w:tc>
        <w:tc>
          <w:tcPr>
            <w:tcW w:type="dxa" w:w="1361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2024H1（实际）</w:t>
            </w:r>
          </w:p>
        </w:tc>
        <w:tc>
          <w:tcPr>
            <w:tcW w:type="dxa" w:w="1474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2025A</w:t>
            </w:r>
          </w:p>
        </w:tc>
        <w:tc>
          <w:tcPr>
            <w:tcW w:type="dxa" w:w="1624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2026H1</w:t>
            </w:r>
          </w:p>
        </w:tc>
      </w:tr>
      <w:tr>
        <w:tc>
          <w:tcPr>
            <w:tcW w:type="dxa" w:w="181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营业总收入（亿元）</w:t>
            </w:r>
          </w:p>
        </w:tc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约 660</w:t>
            </w:r>
          </w:p>
        </w:tc>
        <w:tc>
          <w:tcPr>
            <w:tcW w:type="dxa" w:w="136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1,147.67（+74.24%）</w:t>
            </w:r>
          </w:p>
        </w:tc>
        <w:tc>
          <w:tcPr>
            <w:tcW w:type="dxa" w:w="136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420.64（+68.71%）</w:t>
            </w:r>
          </w:p>
        </w:tc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1,647.82（+43.25%）</w:t>
            </w:r>
          </w:p>
        </w:tc>
        <w:tc>
          <w:tcPr>
            <w:tcW w:type="dxa" w:w="162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843.79（+5.22%）</w:t>
            </w:r>
          </w:p>
        </w:tc>
      </w:tr>
      <w:tr>
        <w:tc>
          <w:tcPr>
            <w:tcW w:type="dxa" w:w="181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归母净利润（亿元）</w:t>
            </w:r>
          </w:p>
        </w:tc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约 17.8</w:t>
            </w:r>
          </w:p>
        </w:tc>
        <w:tc>
          <w:tcPr>
            <w:tcW w:type="dxa" w:w="136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22.92（+28.55%）</w:t>
            </w:r>
          </w:p>
        </w:tc>
        <w:tc>
          <w:tcPr>
            <w:tcW w:type="dxa" w:w="136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5.97（+90.56%）</w:t>
            </w:r>
          </w:p>
        </w:tc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24.13（+5.20%）</w:t>
            </w:r>
          </w:p>
        </w:tc>
        <w:tc>
          <w:tcPr>
            <w:tcW w:type="dxa" w:w="162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29.52（+269.59%）</w:t>
            </w:r>
          </w:p>
        </w:tc>
      </w:tr>
      <w:tr>
        <w:tc>
          <w:tcPr>
            <w:tcW w:type="dxa" w:w="181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扣非净利润（亿元）</w:t>
            </w:r>
          </w:p>
        </w:tc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</w:t>
            </w:r>
          </w:p>
        </w:tc>
        <w:tc>
          <w:tcPr>
            <w:tcW w:type="dxa" w:w="136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</w:t>
            </w:r>
          </w:p>
        </w:tc>
        <w:tc>
          <w:tcPr>
            <w:tcW w:type="dxa" w:w="136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4.22（+3,779.50%）</w:t>
            </w:r>
          </w:p>
        </w:tc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</w:t>
            </w:r>
          </w:p>
        </w:tc>
        <w:tc>
          <w:tcPr>
            <w:tcW w:type="dxa" w:w="162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24.19（+260.08%）</w:t>
            </w:r>
          </w:p>
        </w:tc>
      </w:tr>
      <w:tr>
        <w:tc>
          <w:tcPr>
            <w:tcW w:type="dxa" w:w="181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毛利率（销售）</w:t>
            </w:r>
          </w:p>
        </w:tc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约 10.0%</w:t>
            </w:r>
          </w:p>
        </w:tc>
        <w:tc>
          <w:tcPr>
            <w:tcW w:type="dxa" w:w="136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6.85%（同比-3.19 pct）</w:t>
            </w:r>
          </w:p>
        </w:tc>
        <w:tc>
          <w:tcPr>
            <w:tcW w:type="dxa" w:w="136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7.74%（同比-3.66 pct）</w:t>
            </w:r>
          </w:p>
        </w:tc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约 5.1%</w:t>
            </w:r>
          </w:p>
        </w:tc>
        <w:tc>
          <w:tcPr>
            <w:tcW w:type="dxa" w:w="162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8.74%（同比+4.23 pct）</w:t>
            </w:r>
          </w:p>
        </w:tc>
      </w:tr>
      <w:tr>
        <w:tc>
          <w:tcPr>
            <w:tcW w:type="dxa" w:w="181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服务器及部件业务（亿元）</w:t>
            </w:r>
          </w:p>
        </w:tc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</w:t>
            </w:r>
          </w:p>
        </w:tc>
        <w:tc>
          <w:tcPr>
            <w:tcW w:type="dxa" w:w="136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1,140.00（+74.74%）</w:t>
            </w:r>
          </w:p>
        </w:tc>
        <w:tc>
          <w:tcPr>
            <w:tcW w:type="dxa" w:w="136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</w:t>
            </w:r>
          </w:p>
        </w:tc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约 1,500（H1 752.86）</w:t>
            </w:r>
          </w:p>
        </w:tc>
        <w:tc>
          <w:tcPr>
            <w:tcW w:type="dxa" w:w="162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780.62（占营收 92.51%）</w:t>
            </w:r>
          </w:p>
        </w:tc>
      </w:tr>
      <w:tr>
        <w:tc>
          <w:tcPr>
            <w:tcW w:type="dxa" w:w="181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海外营收（亿元）</w:t>
            </w:r>
          </w:p>
        </w:tc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约 95</w:t>
            </w:r>
          </w:p>
        </w:tc>
        <w:tc>
          <w:tcPr>
            <w:tcW w:type="dxa" w:w="136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340.80（+256.98%）</w:t>
            </w:r>
          </w:p>
        </w:tc>
        <w:tc>
          <w:tcPr>
            <w:tcW w:type="dxa" w:w="136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122.64（+171.54%）</w:t>
            </w:r>
          </w:p>
        </w:tc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—（估算 380~420）</w:t>
            </w:r>
          </w:p>
        </w:tc>
        <w:tc>
          <w:tcPr>
            <w:tcW w:type="dxa" w:w="162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—（详见三、海外业务）</w:t>
            </w:r>
          </w:p>
        </w:tc>
      </w:tr>
      <w:tr>
        <w:tc>
          <w:tcPr>
            <w:tcW w:type="dxa" w:w="181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海外占比</w:t>
            </w:r>
          </w:p>
        </w:tc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约 14%</w:t>
            </w:r>
          </w:p>
        </w:tc>
        <w:tc>
          <w:tcPr>
            <w:tcW w:type="dxa" w:w="136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29.69%（国内占比 70.31%）</w:t>
            </w:r>
          </w:p>
        </w:tc>
        <w:tc>
          <w:tcPr>
            <w:tcW w:type="dxa" w:w="136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29.16%</w:t>
            </w:r>
          </w:p>
        </w:tc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约 23%~25%（估算）</w:t>
            </w:r>
          </w:p>
        </w:tc>
        <w:tc>
          <w:tcPr>
            <w:tcW w:type="dxa" w:w="162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—（详见三、海外业务）</w:t>
            </w:r>
          </w:p>
        </w:tc>
      </w:tr>
      <w:tr>
        <w:tc>
          <w:tcPr>
            <w:tcW w:type="dxa" w:w="181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Q2 单季归母净利润（亿元）</w:t>
            </w:r>
          </w:p>
        </w:tc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</w:t>
            </w:r>
          </w:p>
        </w:tc>
        <w:tc>
          <w:tcPr>
            <w:tcW w:type="dxa" w:w="136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</w:t>
            </w:r>
          </w:p>
        </w:tc>
        <w:tc>
          <w:tcPr>
            <w:tcW w:type="dxa" w:w="136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2.91（+129.01%）</w:t>
            </w:r>
          </w:p>
        </w:tc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</w:t>
            </w:r>
          </w:p>
        </w:tc>
        <w:tc>
          <w:tcPr>
            <w:tcW w:type="dxa" w:w="162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23.47（+193.65%）</w:t>
            </w:r>
          </w:p>
        </w:tc>
      </w:tr>
      <w:tr>
        <w:tc>
          <w:tcPr>
            <w:tcW w:type="dxa" w:w="181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Q2 单季毛利率</w:t>
            </w:r>
          </w:p>
        </w:tc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</w:t>
            </w:r>
          </w:p>
        </w:tc>
        <w:tc>
          <w:tcPr>
            <w:tcW w:type="dxa" w:w="136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</w:t>
            </w:r>
          </w:p>
        </w:tc>
        <w:tc>
          <w:tcPr>
            <w:tcW w:type="dxa" w:w="136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</w:t>
            </w:r>
          </w:p>
        </w:tc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</w:t>
            </w:r>
          </w:p>
        </w:tc>
        <w:tc>
          <w:tcPr>
            <w:tcW w:type="dxa" w:w="162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10.28%（同比+4.19 pct）</w:t>
            </w:r>
          </w:p>
        </w:tc>
      </w:tr>
    </w:tbl>
    <w:p/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注：2024 年全年数据为公司 2024 年年度报告披露的实际数（来源：新浪财经整理公司 2024 年报）；2024 年销售毛利率 6.85% 为 Wind 数据口径，2026H1 毛利率 8.74% 为电子行业整体口径。</w:t>
      </w:r>
    </w:p>
    <w:p>
      <w:r>
        <w:br w:type="page"/>
      </w:r>
    </w:p>
    <w:p>
      <w:pPr>
        <w:pStyle w:val="Heading1"/>
      </w:pPr>
      <w:r>
        <w:rPr>
          <w:rFonts w:ascii="Microsoft YaHei" w:hAnsi="Microsoft YaHei" w:eastAsia="Microsoft YaHei"/>
          <w:color w:val="1F3A68"/>
          <w:sz w:val="32"/>
        </w:rPr>
        <w:t>一、公司概况与战略定位</w:t>
      </w:r>
    </w:p>
    <w:p>
      <w:pPr>
        <w:pStyle w:val="Heading2"/>
      </w:pPr>
      <w:r>
        <w:rPr>
          <w:rFonts w:ascii="Microsoft YaHei" w:hAnsi="Microsoft YaHei" w:eastAsia="Microsoft YaHei"/>
          <w:color w:val="2C5F9E"/>
          <w:sz w:val="26"/>
        </w:rPr>
        <w:t>1.1 业务版图与产业链定位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浪潮信息成立于 1998 年，2000 年在深交所上市，主营业务覆盖服务器、存储、AI 算力、云计算及大数据软硬件整体解决方案。公司处于算力产业链中游——上游对接英特尔、英伟达、AMD、三星、SK 海力士等芯片与核心元器件厂商，下游对接云计算厂商、互联网公司、政企客户、金融机构、电信运营商及海外客户。这种"夹在上下游之间"的定位决定了公司议价能力相对受限、毛利率长期偏低（2022—2024 年由 11.4% 降至 6.8%）的特征。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产品矩阵方面，公司围绕"计算、存储、网络"三大关键领域形成了完整布局，包括通用服务器、AI 服务器（NF5288、NF5698 等）、高端服务器、边缘服务器、液冷服务器、存储产品、网络交换机等。其中 AI 服务器与液冷服务器是 2024—2026 年的核心增长引擎：2025 年上半年服务器业务收入 752.86 亿元，同比+99.50%，占总营收 93.88%。</w:t>
      </w:r>
    </w:p>
    <w:p>
      <w:pPr>
        <w:pStyle w:val="Heading2"/>
      </w:pPr>
      <w:r>
        <w:rPr>
          <w:rFonts w:ascii="Microsoft YaHei" w:hAnsi="Microsoft YaHei" w:eastAsia="Microsoft YaHei"/>
          <w:color w:val="2C5F9E"/>
          <w:sz w:val="26"/>
        </w:rPr>
        <w:t>1.2 战略主线：AI 算力 + 智慧计算 + 全球化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公司近年明确以"云计算、大数据、人工智能为代表的智慧计算"为核心战略，依托 JDM（Joint Design Manufacture，联合设计制造）模式与下游互联网/云厂商深度绑定，将一款新品研发周期由 1.5 年压缩至 9 个月，订单交付周期从 15 天缩短至 5—7 天，曾创下 8 小时交付 10,000 台云服务器的行业纪录。这一敏捷能力是 2024 年 AI 算力需求井喷期间公司订单兑现的核心保障，也是海外大客户合作的关键信任基础。</w:t>
      </w:r>
    </w:p>
    <w:p>
      <w:r>
        <w:br w:type="page"/>
      </w:r>
    </w:p>
    <w:p>
      <w:pPr>
        <w:pStyle w:val="Heading1"/>
      </w:pPr>
      <w:r>
        <w:rPr>
          <w:rFonts w:ascii="Microsoft YaHei" w:hAnsi="Microsoft YaHei" w:eastAsia="Microsoft YaHei"/>
          <w:color w:val="1F3A68"/>
          <w:sz w:val="32"/>
        </w:rPr>
        <w:t>二、2024—2026 年整体业绩回顾</w:t>
      </w:r>
    </w:p>
    <w:p>
      <w:pPr>
        <w:pStyle w:val="Heading2"/>
      </w:pPr>
      <w:r>
        <w:rPr>
          <w:rFonts w:ascii="Microsoft YaHei" w:hAnsi="Microsoft YaHei" w:eastAsia="Microsoft YaHei"/>
          <w:color w:val="2C5F9E"/>
          <w:sz w:val="26"/>
        </w:rPr>
        <w:t>2.1 三年关键指标纵览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474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报告期</w:t>
            </w:r>
          </w:p>
        </w:tc>
        <w:tc>
          <w:tcPr>
            <w:tcW w:type="dxa" w:w="1474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营业总收入（亿元）</w:t>
            </w:r>
          </w:p>
        </w:tc>
        <w:tc>
          <w:tcPr>
            <w:tcW w:type="dxa" w:w="1020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同比</w:t>
            </w:r>
          </w:p>
        </w:tc>
        <w:tc>
          <w:tcPr>
            <w:tcW w:type="dxa" w:w="1361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归母净利润（亿元）</w:t>
            </w:r>
          </w:p>
        </w:tc>
        <w:tc>
          <w:tcPr>
            <w:tcW w:type="dxa" w:w="1134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同比</w:t>
            </w:r>
          </w:p>
        </w:tc>
        <w:tc>
          <w:tcPr>
            <w:tcW w:type="dxa" w:w="907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毛利率</w:t>
            </w:r>
          </w:p>
        </w:tc>
      </w:tr>
      <w:tr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2024Q1</w:t>
            </w:r>
          </w:p>
        </w:tc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176.07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+85.32%</w:t>
            </w:r>
          </w:p>
        </w:tc>
        <w:tc>
          <w:tcPr>
            <w:tcW w:type="dxa" w:w="136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3.06</w:t>
            </w:r>
          </w:p>
        </w:tc>
        <w:tc>
          <w:tcPr>
            <w:tcW w:type="dxa" w:w="113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+64.39%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8.08%</w:t>
            </w:r>
          </w:p>
        </w:tc>
      </w:tr>
      <w:tr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2024H1</w:t>
            </w:r>
          </w:p>
        </w:tc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420.64</w:t>
            </w:r>
          </w:p>
        </w:tc>
        <w:tc>
          <w:tcPr>
            <w:tcW w:type="dxa" w:w="1020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+68.71%</w:t>
            </w:r>
          </w:p>
        </w:tc>
        <w:tc>
          <w:tcPr>
            <w:tcW w:type="dxa" w:w="136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5.97</w:t>
            </w:r>
          </w:p>
        </w:tc>
        <w:tc>
          <w:tcPr>
            <w:tcW w:type="dxa" w:w="113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+90.56%</w:t>
            </w:r>
          </w:p>
        </w:tc>
        <w:tc>
          <w:tcPr>
            <w:tcW w:type="dxa" w:w="907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7.74%</w:t>
            </w:r>
          </w:p>
        </w:tc>
      </w:tr>
      <w:tr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2024Q3 单季</w:t>
            </w:r>
          </w:p>
        </w:tc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410.62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+76.05%</w:t>
            </w:r>
          </w:p>
        </w:tc>
        <w:tc>
          <w:tcPr>
            <w:tcW w:type="dxa" w:w="136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6.97</w:t>
            </w:r>
          </w:p>
        </w:tc>
        <w:tc>
          <w:tcPr>
            <w:tcW w:type="dxa" w:w="113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+51.09%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</w:t>
            </w:r>
          </w:p>
        </w:tc>
      </w:tr>
      <w:tr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2024 前三季</w:t>
            </w:r>
          </w:p>
        </w:tc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831.26</w:t>
            </w:r>
          </w:p>
        </w:tc>
        <w:tc>
          <w:tcPr>
            <w:tcW w:type="dxa" w:w="1020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+72.26%</w:t>
            </w:r>
          </w:p>
        </w:tc>
        <w:tc>
          <w:tcPr>
            <w:tcW w:type="dxa" w:w="136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12.94</w:t>
            </w:r>
          </w:p>
        </w:tc>
        <w:tc>
          <w:tcPr>
            <w:tcW w:type="dxa" w:w="113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+67.05%</w:t>
            </w:r>
          </w:p>
        </w:tc>
        <w:tc>
          <w:tcPr>
            <w:tcW w:type="dxa" w:w="907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</w:t>
            </w:r>
          </w:p>
        </w:tc>
      </w:tr>
      <w:tr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2024 全年（实际）</w:t>
            </w:r>
          </w:p>
        </w:tc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1,147.67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+74.24%</w:t>
            </w:r>
          </w:p>
        </w:tc>
        <w:tc>
          <w:tcPr>
            <w:tcW w:type="dxa" w:w="136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22.92</w:t>
            </w:r>
          </w:p>
        </w:tc>
        <w:tc>
          <w:tcPr>
            <w:tcW w:type="dxa" w:w="113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+28.55%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6.85%</w:t>
            </w:r>
          </w:p>
        </w:tc>
      </w:tr>
      <w:tr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2025Q1</w:t>
            </w:r>
          </w:p>
        </w:tc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468.58</w:t>
            </w:r>
          </w:p>
        </w:tc>
        <w:tc>
          <w:tcPr>
            <w:tcW w:type="dxa" w:w="1020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+165.31%</w:t>
            </w:r>
          </w:p>
        </w:tc>
        <w:tc>
          <w:tcPr>
            <w:tcW w:type="dxa" w:w="136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4.63</w:t>
            </w:r>
          </w:p>
        </w:tc>
        <w:tc>
          <w:tcPr>
            <w:tcW w:type="dxa" w:w="113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+52.78%</w:t>
            </w:r>
          </w:p>
        </w:tc>
        <w:tc>
          <w:tcPr>
            <w:tcW w:type="dxa" w:w="907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3.45%</w:t>
            </w:r>
          </w:p>
        </w:tc>
      </w:tr>
      <w:tr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2025H1</w:t>
            </w:r>
          </w:p>
        </w:tc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801.92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+90.05%</w:t>
            </w:r>
          </w:p>
        </w:tc>
        <w:tc>
          <w:tcPr>
            <w:tcW w:type="dxa" w:w="136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7.99</w:t>
            </w:r>
          </w:p>
        </w:tc>
        <w:tc>
          <w:tcPr>
            <w:tcW w:type="dxa" w:w="113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+34.87%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4.55%</w:t>
            </w:r>
          </w:p>
        </w:tc>
      </w:tr>
      <w:tr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2025Q3 单季</w:t>
            </w:r>
          </w:p>
        </w:tc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404.77</w:t>
            </w:r>
          </w:p>
        </w:tc>
        <w:tc>
          <w:tcPr>
            <w:tcW w:type="dxa" w:w="1020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-1.55%</w:t>
            </w:r>
          </w:p>
        </w:tc>
        <w:tc>
          <w:tcPr>
            <w:tcW w:type="dxa" w:w="136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6.83</w:t>
            </w:r>
          </w:p>
        </w:tc>
        <w:tc>
          <w:tcPr>
            <w:tcW w:type="dxa" w:w="113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-1.34%</w:t>
            </w:r>
          </w:p>
        </w:tc>
        <w:tc>
          <w:tcPr>
            <w:tcW w:type="dxa" w:w="907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</w:t>
            </w:r>
          </w:p>
        </w:tc>
      </w:tr>
      <w:tr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2025 前三季</w:t>
            </w:r>
          </w:p>
        </w:tc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1,206.69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+44.85%</w:t>
            </w:r>
          </w:p>
        </w:tc>
        <w:tc>
          <w:tcPr>
            <w:tcW w:type="dxa" w:w="136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14.82</w:t>
            </w:r>
          </w:p>
        </w:tc>
        <w:tc>
          <w:tcPr>
            <w:tcW w:type="dxa" w:w="113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+15.35%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</w:t>
            </w:r>
          </w:p>
        </w:tc>
      </w:tr>
      <w:tr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2025 全年</w:t>
            </w:r>
          </w:p>
        </w:tc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1,647.82</w:t>
            </w:r>
          </w:p>
        </w:tc>
        <w:tc>
          <w:tcPr>
            <w:tcW w:type="dxa" w:w="1020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+43.25%</w:t>
            </w:r>
          </w:p>
        </w:tc>
        <w:tc>
          <w:tcPr>
            <w:tcW w:type="dxa" w:w="136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24.13</w:t>
            </w:r>
          </w:p>
        </w:tc>
        <w:tc>
          <w:tcPr>
            <w:tcW w:type="dxa" w:w="113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+5.20%</w:t>
            </w:r>
          </w:p>
        </w:tc>
        <w:tc>
          <w:tcPr>
            <w:tcW w:type="dxa" w:w="907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约 5.1%</w:t>
            </w:r>
          </w:p>
        </w:tc>
      </w:tr>
      <w:tr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2026Q1</w:t>
            </w:r>
          </w:p>
        </w:tc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354.7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-24.3%</w:t>
            </w:r>
          </w:p>
        </w:tc>
        <w:tc>
          <w:tcPr>
            <w:tcW w:type="dxa" w:w="136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6.05</w:t>
            </w:r>
          </w:p>
        </w:tc>
        <w:tc>
          <w:tcPr>
            <w:tcW w:type="dxa" w:w="113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+30.74%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6.64%</w:t>
            </w:r>
          </w:p>
        </w:tc>
      </w:tr>
      <w:tr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2026H1（实际）</w:t>
            </w:r>
          </w:p>
        </w:tc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843.79</w:t>
            </w:r>
          </w:p>
        </w:tc>
        <w:tc>
          <w:tcPr>
            <w:tcW w:type="dxa" w:w="1020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+5.22%</w:t>
            </w:r>
          </w:p>
        </w:tc>
        <w:tc>
          <w:tcPr>
            <w:tcW w:type="dxa" w:w="136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29.52</w:t>
            </w:r>
          </w:p>
        </w:tc>
        <w:tc>
          <w:tcPr>
            <w:tcW w:type="dxa" w:w="113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+269.59%</w:t>
            </w:r>
          </w:p>
        </w:tc>
        <w:tc>
          <w:tcPr>
            <w:tcW w:type="dxa" w:w="907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8.74%</w:t>
            </w:r>
          </w:p>
        </w:tc>
      </w:tr>
      <w:tr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2026Q2 单季</w:t>
            </w:r>
          </w:p>
        </w:tc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489.09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</w:t>
            </w:r>
          </w:p>
        </w:tc>
        <w:tc>
          <w:tcPr>
            <w:tcW w:type="dxa" w:w="136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23.47</w:t>
            </w:r>
          </w:p>
        </w:tc>
        <w:tc>
          <w:tcPr>
            <w:tcW w:type="dxa" w:w="113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+193.65%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10.28%</w:t>
            </w:r>
          </w:p>
        </w:tc>
      </w:tr>
    </w:tbl>
    <w:p/>
    <w:p>
      <w:pPr>
        <w:pStyle w:val="Heading2"/>
      </w:pPr>
      <w:r>
        <w:rPr>
          <w:rFonts w:ascii="Microsoft YaHei" w:hAnsi="Microsoft YaHei" w:eastAsia="Microsoft YaHei"/>
          <w:color w:val="2C5F9E"/>
          <w:sz w:val="26"/>
        </w:rPr>
        <w:t>2.2 三年走势特征解读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第一阶段（2024 年）：高基数下的高增长。2024 年前三季度营收 831.26 亿元（同比+72.26%），主要由 AI 服务器与海外需求双轮驱动。2024H1 毛利率 7.74%，较 2023H1 同比下降 3.61 个百分点，主要原因为芯片涨价、汇率上行（人民币兑美元汇率由 2022 年均值 6.73 升至 2024 年均值 7.12，原料端换算成本上涨）、产品结构由高毛利通用机型向低毛利但单价高的 AI 机型倾斜。同期海外业务营收 122.64 亿元、同比+171.54%，占比飙升至 29.16%（同比+11.04 pct）。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第二阶段（2025 年）：增速换挡，毛利探底，海外受冲击。2025H1 营收同比+90.05%，但毛利率进一步下探至 4.55%；2025Q3 单季营收同比下降 1.55%，为三年来首次单季负增长。主要原因有三：其一，2025 年 3 月美国将浪潮信息大陆、香港、台湾子公司全部列入实体清单，海外订单与供应链承压；其二，AI 算力投资阶段性高位盘整；其三，汇率虽有缓解但芯片价格高企，毛利仍承压。全年看，公司最终交出营收 1,647.82 亿元、净利润 24.13 亿元的成绩单，规模继续创新高，但净利润增速由 2024H1 的+90.56%回落至全年+5.20%，呈现"营收强、利润弱"特征。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第三阶段（2026 年）：盈利能力修复元年。2026Q1 在营收同比-24.3% 的不利开局下，归母净利润仍同比+30.74%，毛利率回升至 6.64%；2026H1 实际归母净利润 29.52 亿元，同比+269.59%，扣非净利润 24.19 亿元、同比+260.08%，Q2 单季归母净利润 23.47 亿元（同比+193.65%）创上市以来单季历史新高，半年净利润已超过 2025 年全年（24.13 亿元）。Q2 单季毛利率跃升至 10.28%（同比+4.19 pct），电子行业整体毛利率 8.74%（同比+4.23 pct），服务器及部件毛利率提升 4.41 pct 至 8.73%。收入仅+5.22%、利润+269.59% 形成巨大"剪刀差"——核心驱动是高毛利产品（AI 服务器、元脑 SD200 超节点、液冷）占比结构性提升，而非规模扩张本身。具体驱动力包括：元脑 SD200 超节点（单机 64 路本土 AI 芯片互连、承载 4 万亿参数模型、Token 生成 4.77—7.3 ms 国内最快纪录）与元脑 HC1000超扩展（推理成本首次击破 1 元/百万 Token）2026 年量产；Q1 大量备货（存货 442 亿→454.97 亿，原材料 261.82 亿）锁定低价 GPU 红利；液冷服务器连续多年位居中国市场第一提升产品溢价能力。</w:t>
      </w:r>
    </w:p>
    <w:p>
      <w:pPr>
        <w:pStyle w:val="Heading2"/>
      </w:pPr>
      <w:r>
        <w:rPr>
          <w:rFonts w:ascii="Microsoft YaHei" w:hAnsi="Microsoft YaHei" w:eastAsia="Microsoft YaHei"/>
          <w:color w:val="2C5F9E"/>
          <w:sz w:val="26"/>
        </w:rPr>
        <w:t>2.3 毛利率与盈利质量分析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公司 2019—2025 年毛利率呈持续下行：11.97% → 11.70% → 11.44% → 11.16% → 10.04% → 6.8%（2024）→ 5.1%（2025）→ 6.64%（2026Q1）→ 8.74%（2026H1 实际）。其中 2026H1 的毛利率反弹结束了连续 5 年的下行趋势，标志着公司从"硬件组装低毛利"向"高毛利 AI/超节点产品"的结构性迁移正式确立。下行的核心原因包括：（1）汇率端：2022 年 9 月以来人民币贬值，原料换算成本上升；（2）产品结构端：高毛利通用服务器占比下降、低毛利但单价高的 AI 服务器占比上升；（3）芯片端：H100、H200、B200 等高端 GPU 单价远高于通用 CPU，单一订单拉低毛利率；（4）议价端：夹在英特尔/英伟达与云大厂之间，毛利空间被双重挤压。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盈利质量方面，公司 2024H1 加权 ROE 3.27%（同比+1.37 pct），2025 前三季 ROE 7.24%（同比+0.28 pct），2026H1 加权 ROE 大幅跃升至 12.74%（同比+8.78 pct），盈利效率显著增强；基本每股收益由 2025H1 的 0.54 元升至 2026H1 的 2.01 元（+270.53%）。经营性现金流长期为负，2024H1 经营性现金流-45.01 亿元，2025 前三季-125.74 亿元，2026H1 经营性现金流-74.93 亿元（净流出规模同比扩大 34.39%），主要受业务规模扩大、采购付款增多拖累（存货由 261.82 亿飙升至 454.97 亿元），也反映公司在 AI 算力放量期的备货策略。应收账款规模较大，2024 年中报应收账款/利润比达 763.63%，需重点跟踪。总资产由 2025 年末 838 亿增至 2026H1 末 1090.91 亿元（+30.19%），资产负债端扩张反映公司对 2026 下半年及 2027 年订单的提前布局。</w:t>
      </w:r>
    </w:p>
    <w:p>
      <w:pPr>
        <w:pStyle w:val="Heading2"/>
      </w:pPr>
      <w:r>
        <w:rPr>
          <w:rFonts w:ascii="Microsoft YaHei" w:hAnsi="Microsoft YaHei" w:eastAsia="Microsoft YaHei"/>
          <w:color w:val="2C5F9E"/>
          <w:sz w:val="26"/>
        </w:rPr>
        <w:t>2.4 2026H1 业绩详情：剪刀差反转与元脑 SD200 量产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2026 年 8 月 28 日，浪潮信息正式披露 2026 年半年度报告，核心特征是"营收温和、利润爆发"的剪刀差反转——这是公司经营史上的重大拐点。具体业务结构如下：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1928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业务 / 指标</w:t>
            </w:r>
          </w:p>
        </w:tc>
        <w:tc>
          <w:tcPr>
            <w:tcW w:type="dxa" w:w="1701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2026H1 实际</w:t>
            </w:r>
          </w:p>
        </w:tc>
        <w:tc>
          <w:tcPr>
            <w:tcW w:type="dxa" w:w="1474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同比 / 占比</w:t>
            </w:r>
          </w:p>
        </w:tc>
        <w:tc>
          <w:tcPr>
            <w:tcW w:type="dxa" w:w="3061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说明</w:t>
            </w:r>
          </w:p>
        </w:tc>
      </w:tr>
      <w:tr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营业总收入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843.79 亿元</w:t>
            </w:r>
          </w:p>
        </w:tc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+5.22%</w:t>
            </w:r>
          </w:p>
        </w:tc>
        <w:tc>
          <w:tcPr>
            <w:tcW w:type="dxa" w:w="306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增速放缓但稳健</w:t>
            </w:r>
          </w:p>
        </w:tc>
      </w:tr>
      <w:tr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归母净利润</w:t>
            </w:r>
          </w:p>
        </w:tc>
        <w:tc>
          <w:tcPr>
            <w:tcW w:type="dxa" w:w="170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29.52 亿元</w:t>
            </w:r>
          </w:p>
        </w:tc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+269.59%</w:t>
            </w:r>
          </w:p>
        </w:tc>
        <w:tc>
          <w:tcPr>
            <w:tcW w:type="dxa" w:w="306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半年超 2025 全年（24.13 亿）</w:t>
            </w:r>
          </w:p>
        </w:tc>
      </w:tr>
      <w:tr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扣非归母净利润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24.19 亿元</w:t>
            </w:r>
          </w:p>
        </w:tc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+260.08%</w:t>
            </w:r>
          </w:p>
        </w:tc>
        <w:tc>
          <w:tcPr>
            <w:tcW w:type="dxa" w:w="306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主业盈利质量实质性改善</w:t>
            </w:r>
          </w:p>
        </w:tc>
      </w:tr>
      <w:tr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Q2 单季归母净利润</w:t>
            </w:r>
          </w:p>
        </w:tc>
        <w:tc>
          <w:tcPr>
            <w:tcW w:type="dxa" w:w="170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23.47 亿元</w:t>
            </w:r>
          </w:p>
        </w:tc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+193.65%（环比+287%）</w:t>
            </w:r>
          </w:p>
        </w:tc>
        <w:tc>
          <w:tcPr>
            <w:tcW w:type="dxa" w:w="306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上市以来单季历史新高</w:t>
            </w:r>
          </w:p>
        </w:tc>
      </w:tr>
      <w:tr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基本每股收益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2.01 元</w:t>
            </w:r>
          </w:p>
        </w:tc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+270.53%</w:t>
            </w:r>
          </w:p>
        </w:tc>
        <w:tc>
          <w:tcPr>
            <w:tcW w:type="dxa" w:w="306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</w:t>
            </w:r>
          </w:p>
        </w:tc>
      </w:tr>
      <w:tr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加权平均 ROE</w:t>
            </w:r>
          </w:p>
        </w:tc>
        <w:tc>
          <w:tcPr>
            <w:tcW w:type="dxa" w:w="170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12.74%</w:t>
            </w:r>
          </w:p>
        </w:tc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+8.78 pct</w:t>
            </w:r>
          </w:p>
        </w:tc>
        <w:tc>
          <w:tcPr>
            <w:tcW w:type="dxa" w:w="306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盈利能力质变</w:t>
            </w:r>
          </w:p>
        </w:tc>
      </w:tr>
      <w:tr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电子行业整体毛利率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8.74%</w:t>
            </w:r>
          </w:p>
        </w:tc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+4.23 pct</w:t>
            </w:r>
          </w:p>
        </w:tc>
        <w:tc>
          <w:tcPr>
            <w:tcW w:type="dxa" w:w="306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连续 5 年下行后首次反弹</w:t>
            </w:r>
          </w:p>
        </w:tc>
      </w:tr>
      <w:tr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服务器及部件业务</w:t>
            </w:r>
          </w:p>
        </w:tc>
        <w:tc>
          <w:tcPr>
            <w:tcW w:type="dxa" w:w="170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780.62 亿元</w:t>
            </w:r>
          </w:p>
        </w:tc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占营收 92.51%（+3.69%）</w:t>
            </w:r>
          </w:p>
        </w:tc>
        <w:tc>
          <w:tcPr>
            <w:tcW w:type="dxa" w:w="306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核心业务</w:t>
            </w:r>
          </w:p>
        </w:tc>
      </w:tr>
      <w:tr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存储、交换类产品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62.76 亿元</w:t>
            </w:r>
          </w:p>
        </w:tc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+29.76%</w:t>
            </w:r>
          </w:p>
        </w:tc>
        <w:tc>
          <w:tcPr>
            <w:tcW w:type="dxa" w:w="306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增速显著高于整体</w:t>
            </w:r>
          </w:p>
        </w:tc>
      </w:tr>
      <w:tr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服务器及部件毛利率</w:t>
            </w:r>
          </w:p>
        </w:tc>
        <w:tc>
          <w:tcPr>
            <w:tcW w:type="dxa" w:w="170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8.73%</w:t>
            </w:r>
          </w:p>
        </w:tc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+4.41 pct</w:t>
            </w:r>
          </w:p>
        </w:tc>
        <w:tc>
          <w:tcPr>
            <w:tcW w:type="dxa" w:w="306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AI/超节点占比提升带动</w:t>
            </w:r>
          </w:p>
        </w:tc>
      </w:tr>
      <w:tr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Q2 单季毛利率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10.28%</w:t>
            </w:r>
          </w:p>
        </w:tc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+4.19 pct（环比+3.64 pct）</w:t>
            </w:r>
          </w:p>
        </w:tc>
        <w:tc>
          <w:tcPr>
            <w:tcW w:type="dxa" w:w="306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结构性跃升</w:t>
            </w:r>
          </w:p>
        </w:tc>
      </w:tr>
      <w:tr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总资产</w:t>
            </w:r>
          </w:p>
        </w:tc>
        <w:tc>
          <w:tcPr>
            <w:tcW w:type="dxa" w:w="170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1,090.91 亿元</w:t>
            </w:r>
          </w:p>
        </w:tc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+30.19%</w:t>
            </w:r>
          </w:p>
        </w:tc>
        <w:tc>
          <w:tcPr>
            <w:tcW w:type="dxa" w:w="306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较 2025 年末</w:t>
            </w:r>
          </w:p>
        </w:tc>
      </w:tr>
      <w:tr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存货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454.97 亿元</w:t>
            </w:r>
          </w:p>
        </w:tc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+73.78%</w:t>
            </w:r>
          </w:p>
        </w:tc>
        <w:tc>
          <w:tcPr>
            <w:tcW w:type="dxa" w:w="306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原材料 261.82 亿，备货 GPU 等关键件</w:t>
            </w:r>
          </w:p>
        </w:tc>
      </w:tr>
      <w:tr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研发投入</w:t>
            </w:r>
          </w:p>
        </w:tc>
        <w:tc>
          <w:tcPr>
            <w:tcW w:type="dxa" w:w="170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26.18 亿元</w:t>
            </w:r>
          </w:p>
        </w:tc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+70.96%</w:t>
            </w:r>
          </w:p>
        </w:tc>
        <w:tc>
          <w:tcPr>
            <w:tcW w:type="dxa" w:w="306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技术壁垒持续投入</w:t>
            </w:r>
          </w:p>
        </w:tc>
      </w:tr>
      <w:tr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销售费用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</w:t>
            </w:r>
          </w:p>
        </w:tc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+27.59%</w:t>
            </w:r>
          </w:p>
        </w:tc>
        <w:tc>
          <w:tcPr>
            <w:tcW w:type="dxa" w:w="306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渠道与市场拓展</w:t>
            </w:r>
          </w:p>
        </w:tc>
      </w:tr>
      <w:tr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管理费用</w:t>
            </w:r>
          </w:p>
        </w:tc>
        <w:tc>
          <w:tcPr>
            <w:tcW w:type="dxa" w:w="170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</w:t>
            </w:r>
          </w:p>
        </w:tc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+102.88%</w:t>
            </w:r>
          </w:p>
        </w:tc>
        <w:tc>
          <w:tcPr>
            <w:tcW w:type="dxa" w:w="306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组织升级与国际化运营</w:t>
            </w:r>
          </w:p>
        </w:tc>
      </w:tr>
      <w:tr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公允价值变动收益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5.45 亿元</w:t>
            </w:r>
          </w:p>
        </w:tc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</w:t>
            </w:r>
          </w:p>
        </w:tc>
        <w:tc>
          <w:tcPr>
            <w:tcW w:type="dxa" w:w="306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持有的金融资产价值波动</w:t>
            </w:r>
          </w:p>
        </w:tc>
      </w:tr>
    </w:tbl>
    <w:p/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业务结构升级的"三重驱动"：（1）AI 智能体时代 Token 引擎、Agent 主机、元脑智能体工作站 Z3（单机支撑 10 个以上智能体协同）等高端产品获市场认可；（2）元脑 SD200 超节点服务器在万亿参数大模型上实现 Token 生成 4.77—7.3 ms（国内最快纪录），单机承载 4 万亿参数模型、基于 DeepSeek R1 推理成本首次击破 1 元/百万 Token；（3）液冷全栈能力连续多年位居中国第一，提升产品溢价能力。研发投入同比+70.96% 体现公司将利润再投入技术迭代与产品矩阵升级的长期战略。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需要客观提示的风险：（1）经营性现金流-74.93 亿元（同比扩大 34.39%），反映备货对营运资金的占用加剧；（2）公允价值变动收益贡献 5.45 亿元，存在二级市场波动风险；（3）研发、销售、管理费用大幅增长，短期对净利率构成压制；（4）海外业务在 2025 年制裁冲击下增速放缓，2026H1 分地区披露中海外占比需进一步跟踪。</w:t>
      </w:r>
    </w:p>
    <w:p>
      <w:r>
        <w:br w:type="page"/>
      </w:r>
    </w:p>
    <w:p>
      <w:pPr>
        <w:pStyle w:val="Heading1"/>
      </w:pPr>
      <w:r>
        <w:rPr>
          <w:rFonts w:ascii="Microsoft YaHei" w:hAnsi="Microsoft YaHei" w:eastAsia="Microsoft YaHei"/>
          <w:color w:val="1F3A68"/>
          <w:sz w:val="32"/>
        </w:rPr>
        <w:t>三、国内业务深度分析</w:t>
      </w:r>
    </w:p>
    <w:p>
      <w:pPr>
        <w:pStyle w:val="Heading2"/>
      </w:pPr>
      <w:r>
        <w:rPr>
          <w:rFonts w:ascii="Microsoft YaHei" w:hAnsi="Microsoft YaHei" w:eastAsia="Microsoft YaHei"/>
          <w:color w:val="2C5F9E"/>
          <w:sz w:val="26"/>
        </w:rPr>
        <w:t>3.1 国内市场地位与客户结构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公司在国内服务器市场长期稳居第一，2024Q1 全球服务器市场份额 11.3%，蝉联全球第二、中国第一（IDC/Gartner 数据）。AI 服务器方面，2023—2024 年中国加速计算服务器市场份额分别为 41% 和 57%，国内互联网大厂（阿里、腾讯、百度、字节）、三大运营商、金融机构、政府/智算中心是核心客户。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2024—2026 年，公司国内业务呈现"双轮驱动"特征：一方面，政企与金融客户受"信创+国产化"政策驱动，推动海光、昇腾等国产 CPU/GPU 替代加速；另一方面，互联网大厂在大模型训练/推理上的资本开支持续放量，DeepSeek、通义千问、文心一言、豆包等千亿级模型迭代带动 AI 服务器订单。公司围绕"元脑"生态、AIStation 平台、大模型一体机（元脑 SD200 等）构建了从硬件到平台再到模型服务的全栈能力。</w:t>
      </w:r>
    </w:p>
    <w:p>
      <w:pPr>
        <w:pStyle w:val="Heading2"/>
      </w:pPr>
      <w:r>
        <w:rPr>
          <w:rFonts w:ascii="Microsoft YaHei" w:hAnsi="Microsoft YaHei" w:eastAsia="Microsoft YaHei"/>
          <w:color w:val="2C5F9E"/>
          <w:sz w:val="26"/>
        </w:rPr>
        <w:t>3.2 国内业务收入与利润拆解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以 2024H1 为例，公司主营业务收入 421.43 亿元中，服务器及部件 418.81 亿元（+70.95%，占 99.57%），IT 终端及散件 0.62 亿元（-66.53%，占 0.15%）。可见国内业务几乎完全由服务器及部件构成，其他品类对国内业务贡献微小。2025H1 服务器业务 752.86 亿元（+99.50%，占 93.88%），存储类、交换类等产品48.37 亿元（+11.52%，占 6.03%）。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国内业务毛利率长期偏低且承压明显：2024H1 整体毛利率 7.74%（服务器及部件 7.65%），2025H1 进一步至 4.55%，2026Q1 回升至 6.64%。这一指标远低于国际同行 Dell、HPE、Supermicro 的双位数毛利率，反映国内 AI 算力市场的高度内卷与价格压力，也反映公司议价能力在大客户主导市场中的弱势。</w:t>
      </w:r>
    </w:p>
    <w:p>
      <w:pPr>
        <w:pStyle w:val="Heading2"/>
      </w:pPr>
      <w:r>
        <w:rPr>
          <w:rFonts w:ascii="Microsoft YaHei" w:hAnsi="Microsoft YaHei" w:eastAsia="Microsoft YaHei"/>
          <w:color w:val="2C5F9E"/>
          <w:sz w:val="26"/>
        </w:rPr>
        <w:t>3.3 国产替代、信创与一体机三重红利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2024—2026 年国内业务的核心增长动能来自三条主线：（1）国产替代加速——海光 CPU 在 x86 服务器中的占比从 35% 提升至 60%，昇腾、寒武纪等国产 AI 芯片渗透率提升；（2）信创纵深推进——党政、金融、能源、电信等领域国产化率超 85%，形成稳定的政策性需求基本盘；（3）大模型一体机放量——2025—2027 年一体机需求预计 15/39/72 万台，市场空间 1,236/2,937/5,208 亿元，公司作为头部供应商有望拿下约 30% 份额，对应增量收入 360~400 亿元。</w:t>
      </w:r>
    </w:p>
    <w:p>
      <w:r>
        <w:br w:type="page"/>
      </w:r>
    </w:p>
    <w:p>
      <w:pPr>
        <w:pStyle w:val="Heading1"/>
      </w:pPr>
      <w:r>
        <w:rPr>
          <w:rFonts w:ascii="Microsoft YaHei" w:hAnsi="Microsoft YaHei" w:eastAsia="Microsoft YaHei"/>
          <w:color w:val="1F3A68"/>
          <w:sz w:val="32"/>
        </w:rPr>
        <w:t>四、海外业务深度分析（重点章节）</w:t>
      </w:r>
    </w:p>
    <w:p>
      <w:pPr>
        <w:pStyle w:val="Heading2"/>
      </w:pPr>
      <w:r>
        <w:rPr>
          <w:rFonts w:ascii="Microsoft YaHei" w:hAnsi="Microsoft YaHei" w:eastAsia="Microsoft YaHei"/>
          <w:color w:val="2C5F9E"/>
          <w:sz w:val="26"/>
        </w:rPr>
        <w:t>4.1 海外收入、利润、同比增速及占比变化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公司海外业务在 2024—2026 年呈现"放量增长—承压调整—结构重塑"三段式演进，是观察中美科技博弈下中国服务器厂商全球化命运的典型样本。下表汇总 2023—2025 年海外业务关键指标：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701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报告期</w:t>
            </w:r>
          </w:p>
        </w:tc>
        <w:tc>
          <w:tcPr>
            <w:tcW w:type="dxa" w:w="1474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海外营收（亿元）</w:t>
            </w:r>
          </w:p>
        </w:tc>
        <w:tc>
          <w:tcPr>
            <w:tcW w:type="dxa" w:w="1814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同比增速</w:t>
            </w:r>
          </w:p>
        </w:tc>
        <w:tc>
          <w:tcPr>
            <w:tcW w:type="dxa" w:w="1474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占公司总营收比</w:t>
            </w:r>
          </w:p>
        </w:tc>
        <w:tc>
          <w:tcPr>
            <w:tcW w:type="dxa" w:w="1247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海外毛利率</w:t>
            </w:r>
          </w:p>
        </w:tc>
      </w:tr>
      <w:tr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2023 全年（估算）</w:t>
            </w:r>
          </w:p>
        </w:tc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约 95</w:t>
            </w:r>
          </w:p>
        </w:tc>
        <w:tc>
          <w:tcPr>
            <w:tcW w:type="dxa" w:w="181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</w:t>
            </w:r>
          </w:p>
        </w:tc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约 14%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约 8%</w:t>
            </w:r>
          </w:p>
        </w:tc>
      </w:tr>
      <w:tr>
        <w:tc>
          <w:tcPr>
            <w:tcW w:type="dxa" w:w="170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2024H1（实际）</w:t>
            </w:r>
          </w:p>
        </w:tc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122.64</w:t>
            </w:r>
          </w:p>
        </w:tc>
        <w:tc>
          <w:tcPr>
            <w:tcW w:type="dxa" w:w="181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+171.54%</w:t>
            </w:r>
          </w:p>
        </w:tc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29.16%</w:t>
            </w:r>
          </w:p>
        </w:tc>
        <w:tc>
          <w:tcPr>
            <w:tcW w:type="dxa" w:w="1247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7.20%</w:t>
            </w:r>
          </w:p>
        </w:tc>
      </w:tr>
      <w:tr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2024 全年（实际）</w:t>
            </w:r>
          </w:p>
        </w:tc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340.80</w:t>
            </w:r>
          </w:p>
        </w:tc>
        <w:tc>
          <w:tcPr>
            <w:tcW w:type="dxa" w:w="181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+256.98%</w:t>
            </w:r>
          </w:p>
        </w:tc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29.69%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约 6.5%~7%（估算）</w:t>
            </w:r>
          </w:p>
        </w:tc>
      </w:tr>
      <w:tr>
        <w:tc>
          <w:tcPr>
            <w:tcW w:type="dxa" w:w="170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2025H1（实际）</w:t>
            </w:r>
          </w:p>
        </w:tc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约 200（估算）</w:t>
            </w:r>
          </w:p>
        </w:tc>
        <w:tc>
          <w:tcPr>
            <w:tcW w:type="dxa" w:w="181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受实体清单冲击承压</w:t>
            </w:r>
          </w:p>
        </w:tc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约 22%~25%</w:t>
            </w:r>
          </w:p>
        </w:tc>
        <w:tc>
          <w:tcPr>
            <w:tcW w:type="dxa" w:w="1247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进一步下行</w:t>
            </w:r>
          </w:p>
        </w:tc>
      </w:tr>
      <w:tr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2025 全年（估算）</w:t>
            </w:r>
          </w:p>
        </w:tc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约 380~420</w:t>
            </w:r>
          </w:p>
        </w:tc>
        <w:tc>
          <w:tcPr>
            <w:tcW w:type="dxa" w:w="181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增速放缓</w:t>
            </w:r>
          </w:p>
        </w:tc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约 23%~25%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约 4%~5%</w:t>
            </w:r>
          </w:p>
        </w:tc>
      </w:tr>
      <w:tr>
        <w:tc>
          <w:tcPr>
            <w:tcW w:type="dxa" w:w="170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2026（预期）</w:t>
            </w:r>
          </w:p>
        </w:tc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承压 + 国产替代缓冲</w:t>
            </w:r>
          </w:p>
        </w:tc>
        <w:tc>
          <w:tcPr>
            <w:tcW w:type="dxa" w:w="181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低个位数 / 持平</w:t>
            </w:r>
          </w:p>
        </w:tc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约 20%~23%</w:t>
            </w:r>
          </w:p>
        </w:tc>
        <w:tc>
          <w:tcPr>
            <w:tcW w:type="dxa" w:w="1247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有望修复</w:t>
            </w:r>
          </w:p>
        </w:tc>
      </w:tr>
    </w:tbl>
    <w:p/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从数据看三个核心判断：第一，2024 年是海外业务的"放量之年"。海外营收从 2023 年约 95 亿元跃升至 2024H1 的 122.64 亿元（H1 同比+171.54%）、2024 全年实际达 340.80 亿元（同比+256.98%），占比由约 14% 跃升至接近 30%。这一爆发主要得益于：（1）全球 AI 算力短缺，公司作为全球前二服务器厂商承接溢出订单；（2）2023 年 10 月 BIS 规则修订后，公司抢在新规生效前完成大批订单交付；（3）欧洲、东南亚、中东等地的本地云与智算中心建设期订单；（4）JDM 模式下，公司在通用服务器领域的快速交付优势在国际市场同样有效。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第二，海外业务"高增长但低毛利"特征显著。2024H1 海外业务毛利率仅 7.20%，同比减少 1.65 pct，且低于公司整体毛利率（7.74%）。海外业务毛利率长期低于国内，主要原因包括：（1）海外订单多为通用服务器而非高溢价 AI 服务器；（2）海外销售需承担更高的本地化、关税、运输、渠道返点成本；（3）汇率波动直接侵蚀毛利——2024 年人民币兑美元均价 7.12 远高于 2022 年 6.73；（4）部分海外订单以"原料 + 简单集成"模式交付，附加值低。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第三，2025 年起海外业务进入"承压调整期"。2025 年 3 月扩大化制裁后，公司在欧美高端市场的订单获取、合规审查、客户信任均受影响，全年增速从 2024 年的+257% 大幅放缓。2026 年公司海外业务的核心命题是：（1）能否通过东南亚、中东、欧洲等"非美"市场对冲美国市场份额损失；（2）能否通过国产芯片替代方案，缓解英伟达/英特尔/AMD 断供压力；（3）能否在 DeepSeek、阿里通义等开源大模型加持下，向海外客户输出"AI 服务器 + 国产算力 + 开源模型"的差异化方案。</w:t>
      </w:r>
    </w:p>
    <w:p>
      <w:pPr>
        <w:pStyle w:val="Heading2"/>
      </w:pPr>
      <w:r>
        <w:rPr>
          <w:rFonts w:ascii="Microsoft YaHei" w:hAnsi="Microsoft YaHei" w:eastAsia="Microsoft YaHei"/>
          <w:color w:val="2C5F9E"/>
          <w:sz w:val="26"/>
        </w:rPr>
        <w:t>4.2 海外业务运作模式：销售渠道、本地化与供应链</w:t>
      </w:r>
    </w:p>
    <w:p>
      <w:pPr>
        <w:pStyle w:val="Heading3"/>
      </w:pPr>
      <w:r>
        <w:rPr>
          <w:rFonts w:ascii="Microsoft YaHei" w:hAnsi="Microsoft YaHei" w:eastAsia="Microsoft YaHei"/>
          <w:color w:val="333333"/>
          <w:sz w:val="23"/>
        </w:rPr>
        <w:t>（1）销售渠道：直销 + 渠道商 + 大客户 JDM 三轨并行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公司在海外市场构建了"大客户直销 + 区域渠道分销 + JDM 联合开发"的三轨销售体系：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——直销层面：面向全球云厂商、互联网公司、大型电信运营商，由公司海外销售总部直接对接，订单规模大、定制化程度高、毛利空间相对充足；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——渠道分销层面：在欧洲、东南亚、中东、拉美等区域发展认证代理商与系统集成商（SI），由公司海外营销机构（11 个）牵头培训、技术赋能、备件支持，覆盖中小型客户与行业市场（政府、金融、医疗、教育）；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——JDM 联合开发层面：公司将国内成熟的 JDM 模式复制到海外，与全球互联网大厂和大型云服务商开展产品联合定义、快速交付，这一模式的关键价值在于：研发周期压缩、订单可预测性高、客户黏性强。典型做法是公司提供工厂、产线、研发资源与硬件平台，客户负责需求定义、定制化软件与采购计划。</w:t>
      </w:r>
    </w:p>
    <w:p>
      <w:pPr>
        <w:pStyle w:val="Heading3"/>
      </w:pPr>
      <w:r>
        <w:rPr>
          <w:rFonts w:ascii="Microsoft YaHei" w:hAnsi="Microsoft YaHei" w:eastAsia="Microsoft YaHei"/>
          <w:color w:val="333333"/>
          <w:sz w:val="23"/>
        </w:rPr>
        <w:t>（2）本地化运营：11 个海外营销机构 + 区域服务网络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公司以"区域代表处 + 当地团队 + 服务合作伙伴"三层架构推进本地化运营：浪潮智能终端已在东南亚、中东、非洲、中亚、土耳其、中东欧、拉美、欧洲、澳洲、中国香港、中国台湾设立 11 个海外营销机构（部分早期设立、与母公司协同），浪潮信息服务器业务依托这一基础架构，向 50 多个国家与地区提供产品与解决方案。本地化运营的核心职能包括：售前技术支持、售后服务与备件响应、本地认证与合规（CE、FCC、UL、RoHS、BIS 印度等）、市场推广与渠道管理、客户培训与生态建设。</w:t>
      </w:r>
    </w:p>
    <w:p>
      <w:pPr>
        <w:pStyle w:val="Heading3"/>
      </w:pPr>
      <w:r>
        <w:rPr>
          <w:rFonts w:ascii="Microsoft YaHei" w:hAnsi="Microsoft YaHei" w:eastAsia="Microsoft YaHei"/>
          <w:color w:val="333333"/>
          <w:sz w:val="23"/>
        </w:rPr>
        <w:t>（3）供应链布局：国内主厂 + 海外仓 + 区域备件中心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供应链方面，公司形成"国内济南/苏州主厂集中生产 + 海外区域备件中心 + 当地集成与测试"的混合模式。绝大多数服务器整机在国内完成生产与基础测试，通过海运/空运抵达海外区域，由当地合作伙伴完成最终配置、上架、调试。这种模式的优势在于：（1）规模化制造的成本与品质控制；（2）海外快速响应本地客户的差异化需求；（3）通过当地合作降低关税与本地化要求压力。在芯片端，公司主要依赖进口——CPU 来自英特尔、AMD，GPU 来自英伟达，存储芯片来自三星、SK 海力士、西部数据，进口原料占比超过 75%。这一供应链结构在 2023—2025 年成为制裁的核心冲击点。</w:t>
      </w:r>
    </w:p>
    <w:p>
      <w:pPr>
        <w:pStyle w:val="Heading3"/>
      </w:pPr>
      <w:r>
        <w:rPr>
          <w:rFonts w:ascii="Microsoft YaHei" w:hAnsi="Microsoft YaHei" w:eastAsia="Microsoft YaHei"/>
          <w:color w:val="333333"/>
          <w:sz w:val="23"/>
        </w:rPr>
        <w:t>（4）品牌与生态策略：Inspur → Kaytus / Aivres 双品牌升级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面对美国出口管制与地缘政治风险，公司在海外市场启动了从单一"Inspur"品牌向"Kaytus + Aivres"双品牌结构的战略升级（详见第五章）。其中 Kaytus 面向全球 70+ 国家与地区提供通用 AI 与企业级服务器，Aivres 则深耕北美市场、采用本地化身份运营。这一双品牌策略既保留了对"Inspur"母品牌的全球认知度，又通过品牌隔离降低单一品牌被列入实体清单后的连带冲击。同时公司持续参与 OCP、OCM、ODCC 等开放计算标准组织，强化与全球云大厂的生态兼容性。</w:t>
      </w:r>
    </w:p>
    <w:p>
      <w:pPr>
        <w:pStyle w:val="Heading3"/>
      </w:pPr>
      <w:r>
        <w:rPr>
          <w:rFonts w:ascii="Microsoft YaHei" w:hAnsi="Microsoft YaHei" w:eastAsia="Microsoft YaHei"/>
          <w:color w:val="333333"/>
          <w:sz w:val="23"/>
        </w:rPr>
        <w:t>（5）海外分支机构的细化（与生产基地、研发中心）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浪潮信息在海外构建了多层级分支网络，可分为"区域代表处、本地子公司、海外工厂、海外研发中心"四类。规模较大的核心海外平台详见下表：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154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机构 / 平台</w:t>
            </w:r>
          </w:p>
        </w:tc>
        <w:tc>
          <w:tcPr>
            <w:tcW w:type="dxa" w:w="1928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所在国家 / 城市</w:t>
            </w:r>
          </w:p>
        </w:tc>
        <w:tc>
          <w:tcPr>
            <w:tcW w:type="dxa" w:w="1361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类型</w:t>
            </w:r>
          </w:p>
        </w:tc>
        <w:tc>
          <w:tcPr>
            <w:tcW w:type="dxa" w:w="3628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核心职能</w:t>
            </w:r>
          </w:p>
        </w:tc>
      </w:tr>
      <w:tr>
        <w:tc>
          <w:tcPr>
            <w:tcW w:type="dxa" w:w="215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Inspur（北京）电子信息产业</w:t>
            </w:r>
          </w:p>
        </w:tc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中国北京</w:t>
            </w:r>
          </w:p>
        </w:tc>
        <w:tc>
          <w:tcPr>
            <w:tcW w:type="dxa" w:w="136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总部 + 研发</w:t>
            </w:r>
          </w:p>
        </w:tc>
        <w:tc>
          <w:tcPr>
            <w:tcW w:type="dxa" w:w="36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海外业务总协调、合规与法务、技术研发</w:t>
            </w:r>
          </w:p>
        </w:tc>
      </w:tr>
      <w:tr>
        <w:tc>
          <w:tcPr>
            <w:tcW w:type="dxa" w:w="215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Inspur Electronic Information（Singapore）Pte. Ltd.</w:t>
            </w:r>
          </w:p>
        </w:tc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新加坡</w:t>
            </w:r>
          </w:p>
        </w:tc>
        <w:tc>
          <w:tcPr>
            <w:tcW w:type="dxa" w:w="136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东南亚总部</w:t>
            </w:r>
          </w:p>
        </w:tc>
        <w:tc>
          <w:tcPr>
            <w:tcW w:type="dxa" w:w="36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Kaytus 平台运营中心、东南亚销售协调</w:t>
            </w:r>
          </w:p>
        </w:tc>
      </w:tr>
      <w:tr>
        <w:tc>
          <w:tcPr>
            <w:tcW w:type="dxa" w:w="215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KAYTUS Holdings Co., Limited</w:t>
            </w:r>
          </w:p>
        </w:tc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中国香港九龙湾</w:t>
            </w:r>
          </w:p>
        </w:tc>
        <w:tc>
          <w:tcPr>
            <w:tcW w:type="dxa" w:w="136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亚太控股</w:t>
            </w:r>
          </w:p>
        </w:tc>
        <w:tc>
          <w:tcPr>
            <w:tcW w:type="dxa" w:w="36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亚太双核之一，控股 Kaytus Systems</w:t>
            </w:r>
          </w:p>
        </w:tc>
      </w:tr>
      <w:tr>
        <w:tc>
          <w:tcPr>
            <w:tcW w:type="dxa" w:w="215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KAYTUS Systems Pte. Ltd.</w:t>
            </w:r>
          </w:p>
        </w:tc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新加坡</w:t>
            </w:r>
          </w:p>
        </w:tc>
        <w:tc>
          <w:tcPr>
            <w:tcW w:type="dxa" w:w="136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全球总部</w:t>
            </w:r>
          </w:p>
        </w:tc>
        <w:tc>
          <w:tcPr>
            <w:tcW w:type="dxa" w:w="36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Kaytus 品牌全球运营总部（ZoomInfo）</w:t>
            </w:r>
          </w:p>
        </w:tc>
      </w:tr>
      <w:tr>
        <w:tc>
          <w:tcPr>
            <w:tcW w:type="dxa" w:w="215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浪潮电子信息（香港）有限公司</w:t>
            </w:r>
          </w:p>
        </w:tc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中国香港</w:t>
            </w:r>
          </w:p>
        </w:tc>
        <w:tc>
          <w:tcPr>
            <w:tcW w:type="dxa" w:w="136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贸易与采购</w:t>
            </w:r>
          </w:p>
        </w:tc>
        <w:tc>
          <w:tcPr>
            <w:tcW w:type="dxa" w:w="36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海外采购、贸易结算、亚太区域协调</w:t>
            </w:r>
          </w:p>
        </w:tc>
      </w:tr>
      <w:tr>
        <w:tc>
          <w:tcPr>
            <w:tcW w:type="dxa" w:w="215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浪潮（香港）电子有限公司</w:t>
            </w:r>
          </w:p>
        </w:tc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中国香港</w:t>
            </w:r>
          </w:p>
        </w:tc>
        <w:tc>
          <w:tcPr>
            <w:tcW w:type="dxa" w:w="136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销售与渠道</w:t>
            </w:r>
          </w:p>
        </w:tc>
        <w:tc>
          <w:tcPr>
            <w:tcW w:type="dxa" w:w="36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亚太销售、SI 渠道管理</w:t>
            </w:r>
          </w:p>
        </w:tc>
      </w:tr>
      <w:tr>
        <w:tc>
          <w:tcPr>
            <w:tcW w:type="dxa" w:w="215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浪潮台湾</w:t>
            </w:r>
          </w:p>
        </w:tc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中国台湾</w:t>
            </w:r>
          </w:p>
        </w:tc>
        <w:tc>
          <w:tcPr>
            <w:tcW w:type="dxa" w:w="136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区域办事处</w:t>
            </w:r>
          </w:p>
        </w:tc>
        <w:tc>
          <w:tcPr>
            <w:tcW w:type="dxa" w:w="36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台湾市场销售与技术合作</w:t>
            </w:r>
          </w:p>
        </w:tc>
      </w:tr>
      <w:tr>
        <w:tc>
          <w:tcPr>
            <w:tcW w:type="dxa" w:w="215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Kaytus 美国制造基地</w:t>
            </w:r>
          </w:p>
        </w:tc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美国（多州）</w:t>
            </w:r>
          </w:p>
        </w:tc>
        <w:tc>
          <w:tcPr>
            <w:tcW w:type="dxa" w:w="136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工厂</w:t>
            </w:r>
          </w:p>
        </w:tc>
        <w:tc>
          <w:tcPr>
            <w:tcW w:type="dxa" w:w="36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面向北美客户的服务器制造</w:t>
            </w:r>
          </w:p>
        </w:tc>
      </w:tr>
      <w:tr>
        <w:tc>
          <w:tcPr>
            <w:tcW w:type="dxa" w:w="215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Kaytus 越南工厂</w:t>
            </w:r>
          </w:p>
        </w:tc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越南</w:t>
            </w:r>
          </w:p>
        </w:tc>
        <w:tc>
          <w:tcPr>
            <w:tcW w:type="dxa" w:w="136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工厂</w:t>
            </w:r>
          </w:p>
        </w:tc>
        <w:tc>
          <w:tcPr>
            <w:tcW w:type="dxa" w:w="36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面向东南亚及全球客户的服务器制造</w:t>
            </w:r>
          </w:p>
        </w:tc>
      </w:tr>
      <w:tr>
        <w:tc>
          <w:tcPr>
            <w:tcW w:type="dxa" w:w="215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Kaytus 台湾工厂</w:t>
            </w:r>
          </w:p>
        </w:tc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中国台湾</w:t>
            </w:r>
          </w:p>
        </w:tc>
        <w:tc>
          <w:tcPr>
            <w:tcW w:type="dxa" w:w="136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工厂</w:t>
            </w:r>
          </w:p>
        </w:tc>
        <w:tc>
          <w:tcPr>
            <w:tcW w:type="dxa" w:w="36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全球高端服务器制造（与 Aivres 配套）</w:t>
            </w:r>
          </w:p>
        </w:tc>
      </w:tr>
      <w:tr>
        <w:tc>
          <w:tcPr>
            <w:tcW w:type="dxa" w:w="215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Aivres 总部与制造基地</w:t>
            </w:r>
          </w:p>
        </w:tc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美国加州圣何塞</w:t>
            </w:r>
          </w:p>
        </w:tc>
        <w:tc>
          <w:tcPr>
            <w:tcW w:type="dxa" w:w="136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总部 + 制造</w:t>
            </w:r>
          </w:p>
        </w:tc>
        <w:tc>
          <w:tcPr>
            <w:tcW w:type="dxa" w:w="36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北美服务器研发与制造（Aivres 硅谷总部）</w:t>
            </w:r>
          </w:p>
        </w:tc>
      </w:tr>
      <w:tr>
        <w:tc>
          <w:tcPr>
            <w:tcW w:type="dxa" w:w="215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PT. ECS Indo Jaya</w:t>
            </w:r>
          </w:p>
        </w:tc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印度尼西亚</w:t>
            </w:r>
          </w:p>
        </w:tc>
        <w:tc>
          <w:tcPr>
            <w:tcW w:type="dxa" w:w="136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区域渠道伙伴</w:t>
            </w:r>
          </w:p>
        </w:tc>
        <w:tc>
          <w:tcPr>
            <w:tcW w:type="dxa" w:w="36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Kaytus 在印尼的核心分销与系统集成伙伴</w:t>
            </w:r>
          </w:p>
        </w:tc>
      </w:tr>
      <w:tr>
        <w:tc>
          <w:tcPr>
            <w:tcW w:type="dxa" w:w="215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Exertis Enterprise</w:t>
            </w:r>
          </w:p>
        </w:tc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欧美（多国）</w:t>
            </w:r>
          </w:p>
        </w:tc>
        <w:tc>
          <w:tcPr>
            <w:tcW w:type="dxa" w:w="136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区域渠道伙伴</w:t>
            </w:r>
          </w:p>
        </w:tc>
        <w:tc>
          <w:tcPr>
            <w:tcW w:type="dxa" w:w="36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Kaytus 在欧美市场的渠道合作伙伴</w:t>
            </w:r>
          </w:p>
        </w:tc>
      </w:tr>
      <w:tr>
        <w:tc>
          <w:tcPr>
            <w:tcW w:type="dxa" w:w="215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Serial Achieva</w:t>
            </w:r>
          </w:p>
        </w:tc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ASEAN 多国</w:t>
            </w:r>
          </w:p>
        </w:tc>
        <w:tc>
          <w:tcPr>
            <w:tcW w:type="dxa" w:w="136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区域战略伙伴</w:t>
            </w:r>
          </w:p>
        </w:tc>
        <w:tc>
          <w:tcPr>
            <w:tcW w:type="dxa" w:w="36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Kaytus 在东盟市场的 AI 与云计算战略伙伴</w:t>
            </w:r>
          </w:p>
        </w:tc>
      </w:tr>
      <w:tr>
        <w:tc>
          <w:tcPr>
            <w:tcW w:type="dxa" w:w="215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欧洲代表处（德国法兰克福）</w:t>
            </w:r>
          </w:p>
        </w:tc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德国法兰克福</w:t>
            </w:r>
          </w:p>
        </w:tc>
        <w:tc>
          <w:tcPr>
            <w:tcW w:type="dxa" w:w="136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区域代表处</w:t>
            </w:r>
          </w:p>
        </w:tc>
        <w:tc>
          <w:tcPr>
            <w:tcW w:type="dxa" w:w="36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ISC 2026 旗舰活动主办地，覆盖欧盟核心市场</w:t>
            </w:r>
          </w:p>
        </w:tc>
      </w:tr>
    </w:tbl>
    <w:p/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上表显示，公司海外布局的三大特征：第一，"亚太双核"——香港（控股）+ 新加坡（运营）形成 Kaytus 平台的治理与执行架构；第二，"三地制造"——美国 + 越南 + 台湾的工厂网络为客户提供多产地选项，显著降低地缘风险；第三，"渠道与战略伙伴分层"——ECS Indo Jaya、Exertis Enterprise、Serial Achieva 等区域伙伴分别承担分销、SI 集成、战略拓展等不同职能。需要说明的是，2025 年 3 月香港子公司被列入实体清单后，公司正加速将部分功能迁移至新加坡，以 Kaytus Systems Pte. Ltd. 平台作为新的全球总部。</w:t>
      </w:r>
    </w:p>
    <w:p>
      <w:r>
        <w:br w:type="page"/>
      </w:r>
    </w:p>
    <w:p>
      <w:pPr>
        <w:pStyle w:val="Heading2"/>
      </w:pPr>
      <w:r>
        <w:rPr>
          <w:rFonts w:ascii="Microsoft YaHei" w:hAnsi="Microsoft YaHei" w:eastAsia="Microsoft YaHei"/>
          <w:color w:val="2C5F9E"/>
          <w:sz w:val="26"/>
        </w:rPr>
        <w:t>4.3 美国出口禁令对海外业务的具体影响</w:t>
      </w:r>
    </w:p>
    <w:p>
      <w:pPr>
        <w:pStyle w:val="Heading3"/>
      </w:pPr>
      <w:r>
        <w:rPr>
          <w:rFonts w:ascii="Microsoft YaHei" w:hAnsi="Microsoft YaHei" w:eastAsia="Microsoft YaHei"/>
          <w:color w:val="333333"/>
          <w:sz w:val="23"/>
        </w:rPr>
        <w:t>（1）制裁时间线：从集团到子公司、从上游到客户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公司遭遇美国出口管制可追溯到 2023 年。2023 年 3 月，浪潮集团被美国商务部列入实体清单（Entity List），限制其获取受 EAR 管制的美国原产技术、产品、软件。此后 2023 年 10 月 17 日，BIS 发布对华先进计算芯片（AC/S III）和超级计算机（SPC）出口管制规则更新，进一步收紧 AI 芯片出口，A100、H100 等高算力 GPU 对华出口受限（后推出降速版 A800、H800、H20）；2025 年 1 月 13 日，拜登政府在其卸任前最后一周发布《人工智能扩散暂行最终规则》（AI Diffusion Rule），将全球划分为三级管制，中国位列第三等级（完全禁运）；2025 年 3 月 25 日，BIS 在特朗普政府任内首次大规模调整实体清单，将浪潮信息在中国大陆、香港、台湾的多家子公司全部列入清单，浪潮（北京）电子信息产业有限公司、浪潮电子信息产业股份有限公司、浪潮电子信息（香港）有限公司、浪潮（香港）电子有限公司、浪潮软件股份、浪潮台湾均在名单之列；2025 年 5 月 13 日，特朗普政府宣布撤销 AI 扩散规则，但同时发布三项加码措施：（a）全球任何地方使用华为昇腾芯片均违反美国出口管制；（b）警告允许使用美国 AI 芯片训练/推理中国 AI 模型的潜在后果；（c）发布保护供应链免受转移策略侵害的指导意见。上述"撤销 + 加码"的组合看似放松全球管制，实则对中国的封锁进一步细化与隐蔽化。</w:t>
      </w:r>
    </w:p>
    <w:p>
      <w:pPr>
        <w:pStyle w:val="Heading3"/>
      </w:pPr>
      <w:r>
        <w:rPr>
          <w:rFonts w:ascii="Microsoft YaHei" w:hAnsi="Microsoft YaHei" w:eastAsia="Microsoft YaHei"/>
          <w:color w:val="333333"/>
          <w:sz w:val="23"/>
        </w:rPr>
        <w:t>（2）产品供货：高端 GPU 断供 + 替代方案落地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出口禁令对公司海外业务的产品供货形成两层冲击。第一层是"上游断供"：实体清单要求所有受 EAR 管制物项对清单内实体的出口、再出口或国内转移需美方单独许可，且按"推定拒绝"原则审批。这意味着公司在 2023 年下半年起，对英伟达 H100/A100、英特尔至强系列、AMD EPYC 系列等高端芯片的采购即受到事实上的限制。公司一度依赖降速版 H800/A800/H20 等产品维持部分 AI 服务器订单，但随着 2025 年扩大化制裁，限制范围进一步扩大到香港子公司，公司通过香港渠道获取紧俏 AI 芯片的路径被切断。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第二层是"替代方案落地"：公司在 2023—2025 年加速推进国产替代——海光 CPU 服务器占比从 35% 提升至 60%；在 AI 算力上引入华为昇腾、寒武纪、燧原、天数智芯、摩尔线程等国产 GPU 方案；并推动 OAM（OCP Accelerator Module）、DCU 等国产生态适配。至 2026 年，公司"非美算力"AI 服务器已具备规模化交付能力，在东南亚、中东、拉美等对美技术敏感度较低的市场成为重要卖点。</w:t>
      </w:r>
    </w:p>
    <w:p>
      <w:pPr>
        <w:pStyle w:val="Heading3"/>
      </w:pPr>
      <w:r>
        <w:rPr>
          <w:rFonts w:ascii="Microsoft YaHei" w:hAnsi="Microsoft YaHei" w:eastAsia="Microsoft YaHei"/>
          <w:color w:val="333333"/>
          <w:sz w:val="23"/>
        </w:rPr>
        <w:t>（3）客户合作：合规溢价 + 信任成本上升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出口禁令对公司海外客户合作的影响体现在三个维度：合规维度——欧美大型客户（特别是金融机构、电信运营商、政府机构）采购涉及美国技术的中国厂商产品，需进行严格合规审查，导致采购周期延长、合规成本上升，部分客户转而采购 Dell、HPE、Supermicro、联想等非清单内厂商；信任维度——部分客户将"实体清单"等同于"供应链风险"信号，担心未来供货中断、芯片升级受阻、售后支持受限；订单维度——公司在欧美高端 AI 服务器市场的份额承压，部分大客户订单在 2025 年下半年起出现流失或暂缓，2026 年起部分订单转向东南亚、中东市场或采用公司"非美算力"方案。</w:t>
      </w:r>
    </w:p>
    <w:p>
      <w:pPr>
        <w:pStyle w:val="Heading3"/>
      </w:pPr>
      <w:r>
        <w:rPr>
          <w:rFonts w:ascii="Microsoft YaHei" w:hAnsi="Microsoft YaHei" w:eastAsia="Microsoft YaHei"/>
          <w:color w:val="333333"/>
          <w:sz w:val="23"/>
        </w:rPr>
        <w:t>（4）合规应对：法务 + 供应链 + 客户沟通三线并进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面对制裁升级，公司构建了"法务合规 + 供应链重构 + 客户沟通"三线应对体系：法务合规层面，公司组建专门出口管制合规团队，对接美国 BIS 规则、EAR 条款，梳理每一笔订单的原产技术含量、用量比例（De Minimis 25% 规则）、直接产品规则，评估每一笔潜在交易的许可风险；供应链重构层面，公司推进"原料分级分类采购"——对受 EAR 管制物料由大陆主体直采、对非管制物料通过香港子公司采购、对国产替代物料引入独立产线，避免清单主体参与；客户沟通层面，公司主动与海外大客户对接，提供合规承诺函、供应链透明度报告、备用供货方案，并通过法务声明澄清"实体清单"与"出口禁令"的法律差异，降低客户对供应链稳定性的担忧。最具系统性的是：公司通过 Kaytus、Aivres 等海外独立实体（详见第五章），在客户界面与 Inspur 母品牌进行法律实体隔离，以减轻母品牌被列入实体清单后的连带冲击。</w:t>
      </w:r>
    </w:p>
    <w:p>
      <w:r>
        <w:br w:type="page"/>
      </w:r>
    </w:p>
    <w:p>
      <w:pPr>
        <w:pStyle w:val="Heading2"/>
      </w:pPr>
      <w:r>
        <w:rPr>
          <w:rFonts w:ascii="Microsoft YaHei" w:hAnsi="Microsoft YaHei" w:eastAsia="Microsoft YaHei"/>
          <w:color w:val="2C5F9E"/>
          <w:sz w:val="26"/>
        </w:rPr>
        <w:t>4.4 海外分支机构的设置与职能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公司海外布局采用"营销代表处 + 子公司 + 区域服务中心 + 研发中心"的复合架构，覆盖全球主要市场。具体如下：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1474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机构类型</w:t>
            </w:r>
          </w:p>
        </w:tc>
        <w:tc>
          <w:tcPr>
            <w:tcW w:type="dxa" w:w="3742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机构名称 / 区域</w:t>
            </w:r>
          </w:p>
        </w:tc>
        <w:tc>
          <w:tcPr>
            <w:tcW w:type="dxa" w:w="3855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核心职能</w:t>
            </w:r>
          </w:p>
        </w:tc>
      </w:tr>
      <w:tr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大陆实体</w:t>
            </w:r>
          </w:p>
        </w:tc>
        <w:tc>
          <w:tcPr>
            <w:tcW w:type="dxa" w:w="3742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浪潮（北京）电子信息产业有限公司</w:t>
            </w:r>
          </w:p>
        </w:tc>
        <w:tc>
          <w:tcPr>
            <w:tcW w:type="dxa" w:w="3855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北方区域总部、海外业务总协调、合规与法务</w:t>
            </w:r>
          </w:p>
        </w:tc>
      </w:tr>
      <w:tr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香港子公司</w:t>
            </w:r>
          </w:p>
        </w:tc>
        <w:tc>
          <w:tcPr>
            <w:tcW w:type="dxa" w:w="3742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浪潮电子信息（香港）有限公司、浪潮（香港）电子有限公司</w:t>
            </w:r>
          </w:p>
        </w:tc>
        <w:tc>
          <w:tcPr>
            <w:tcW w:type="dxa" w:w="3855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海外采购、贸易结算、亚太区域协调（2025/03 被列入清单后功能调整）</w:t>
            </w:r>
          </w:p>
        </w:tc>
      </w:tr>
      <w:tr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台湾办事处</w:t>
            </w:r>
          </w:p>
        </w:tc>
        <w:tc>
          <w:tcPr>
            <w:tcW w:type="dxa" w:w="3742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浪潮台湾</w:t>
            </w:r>
          </w:p>
        </w:tc>
        <w:tc>
          <w:tcPr>
            <w:tcW w:type="dxa" w:w="3855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台湾市场销售与服务（2025/03 被列入清单）</w:t>
            </w:r>
          </w:p>
        </w:tc>
      </w:tr>
      <w:tr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东南亚代表处</w:t>
            </w:r>
          </w:p>
        </w:tc>
        <w:tc>
          <w:tcPr>
            <w:tcW w:type="dxa" w:w="3742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新加坡、马来西亚、印尼、泰国、菲律宾等</w:t>
            </w:r>
          </w:p>
        </w:tc>
        <w:tc>
          <w:tcPr>
            <w:tcW w:type="dxa" w:w="3855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区域销售、SI 渠道管理、客户支持</w:t>
            </w:r>
          </w:p>
        </w:tc>
      </w:tr>
      <w:tr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中东代表处</w:t>
            </w:r>
          </w:p>
        </w:tc>
        <w:tc>
          <w:tcPr>
            <w:tcW w:type="dxa" w:w="3742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迪拜（覆盖沙特、阿联酋、卡塔尔等）</w:t>
            </w:r>
          </w:p>
        </w:tc>
        <w:tc>
          <w:tcPr>
            <w:tcW w:type="dxa" w:w="3855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智慧城市、能源、政府项目对接</w:t>
            </w:r>
          </w:p>
        </w:tc>
      </w:tr>
      <w:tr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非洲代表处</w:t>
            </w:r>
          </w:p>
        </w:tc>
        <w:tc>
          <w:tcPr>
            <w:tcW w:type="dxa" w:w="3742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肯尼亚、南非、尼日利亚等</w:t>
            </w:r>
          </w:p>
        </w:tc>
        <w:tc>
          <w:tcPr>
            <w:tcW w:type="dxa" w:w="3855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新兴市场拓展、政府/通信项目</w:t>
            </w:r>
          </w:p>
        </w:tc>
      </w:tr>
      <w:tr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中亚代表处</w:t>
            </w:r>
          </w:p>
        </w:tc>
        <w:tc>
          <w:tcPr>
            <w:tcW w:type="dxa" w:w="3742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哈萨克斯坦、乌兹别克斯坦等</w:t>
            </w:r>
          </w:p>
        </w:tc>
        <w:tc>
          <w:tcPr>
            <w:tcW w:type="dxa" w:w="3855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一带一路沿线国家政企项目</w:t>
            </w:r>
          </w:p>
        </w:tc>
      </w:tr>
      <w:tr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土耳其代表处</w:t>
            </w:r>
          </w:p>
        </w:tc>
        <w:tc>
          <w:tcPr>
            <w:tcW w:type="dxa" w:w="3742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伊斯坦布尔</w:t>
            </w:r>
          </w:p>
        </w:tc>
        <w:tc>
          <w:tcPr>
            <w:tcW w:type="dxa" w:w="3855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区域制造与销售辐射</w:t>
            </w:r>
          </w:p>
        </w:tc>
      </w:tr>
      <w:tr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中东欧代表处</w:t>
            </w:r>
          </w:p>
        </w:tc>
        <w:tc>
          <w:tcPr>
            <w:tcW w:type="dxa" w:w="3742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波兰、捷克、匈牙利等</w:t>
            </w:r>
          </w:p>
        </w:tc>
        <w:tc>
          <w:tcPr>
            <w:tcW w:type="dxa" w:w="3855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欧盟东翼市场拓展</w:t>
            </w:r>
          </w:p>
        </w:tc>
      </w:tr>
      <w:tr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拉美代表处</w:t>
            </w:r>
          </w:p>
        </w:tc>
        <w:tc>
          <w:tcPr>
            <w:tcW w:type="dxa" w:w="3742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墨西哥、巴西、智利等</w:t>
            </w:r>
          </w:p>
        </w:tc>
        <w:tc>
          <w:tcPr>
            <w:tcW w:type="dxa" w:w="3855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美洲非美市场拓展</w:t>
            </w:r>
          </w:p>
        </w:tc>
      </w:tr>
      <w:tr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欧洲代表处</w:t>
            </w:r>
          </w:p>
        </w:tc>
        <w:tc>
          <w:tcPr>
            <w:tcW w:type="dxa" w:w="3742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德国、英国、法国、荷兰等</w:t>
            </w:r>
          </w:p>
        </w:tc>
        <w:tc>
          <w:tcPr>
            <w:tcW w:type="dxa" w:w="3855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欧盟核心市场，AI 算力与 HPC</w:t>
            </w:r>
          </w:p>
        </w:tc>
      </w:tr>
      <w:tr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澳洲代表处</w:t>
            </w:r>
          </w:p>
        </w:tc>
        <w:tc>
          <w:tcPr>
            <w:tcW w:type="dxa" w:w="3742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澳大利亚、新西兰</w:t>
            </w:r>
          </w:p>
        </w:tc>
        <w:tc>
          <w:tcPr>
            <w:tcW w:type="dxa" w:w="3855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APAC 高端市场</w:t>
            </w:r>
          </w:p>
        </w:tc>
      </w:tr>
      <w:tr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中国香港中心</w:t>
            </w:r>
          </w:p>
        </w:tc>
        <w:tc>
          <w:tcPr>
            <w:tcW w:type="dxa" w:w="3742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香港</w:t>
            </w:r>
          </w:p>
        </w:tc>
        <w:tc>
          <w:tcPr>
            <w:tcW w:type="dxa" w:w="3855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亚太区域总部（与母公司协同）</w:t>
            </w:r>
          </w:p>
        </w:tc>
      </w:tr>
      <w:tr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中国台湾中心</w:t>
            </w:r>
          </w:p>
        </w:tc>
        <w:tc>
          <w:tcPr>
            <w:tcW w:type="dxa" w:w="3742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新竹 / 台北</w:t>
            </w:r>
          </w:p>
        </w:tc>
        <w:tc>
          <w:tcPr>
            <w:tcW w:type="dxa" w:w="3855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技术合作、研发协同（2025/03 被列入清单）</w:t>
            </w:r>
          </w:p>
        </w:tc>
      </w:tr>
      <w:tr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Kaytus 平台</w:t>
            </w:r>
          </w:p>
        </w:tc>
        <w:tc>
          <w:tcPr>
            <w:tcW w:type="dxa" w:w="3742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中国香港 / 新加坡 / 全球</w:t>
            </w:r>
          </w:p>
        </w:tc>
        <w:tc>
          <w:tcPr>
            <w:tcW w:type="dxa" w:w="3855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海外品牌运营中心（详见第五章）</w:t>
            </w:r>
          </w:p>
        </w:tc>
      </w:tr>
      <w:tr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Aivres 平台</w:t>
            </w:r>
          </w:p>
        </w:tc>
        <w:tc>
          <w:tcPr>
            <w:tcW w:type="dxa" w:w="3742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美国加州圣何塞</w:t>
            </w:r>
          </w:p>
        </w:tc>
        <w:tc>
          <w:tcPr>
            <w:tcW w:type="dxa" w:w="3855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北美销售与本地化运营（详见第五章）</w:t>
            </w:r>
          </w:p>
        </w:tc>
      </w:tr>
    </w:tbl>
    <w:p/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在海外分支机构中，香港平台历来承担三大功能：（1）亚太区域总部与销售协调；（2）海外采购与贸易结算；（3）连接海外资本市场的窗口。2025 年 3 月香港子公司被列入实体清单后，公司将部分功能迁移至新加坡、马来西亚或由大陆主体直接承接。台湾办事处的功能则受到双向压力，既受美国出口管制影响，也在地缘政治层面受限。Kaytus 与 Aivres 作为公司海外业务的两个核心品牌平台，分别承担全球与北美的运营职能，下一章将进行专题深度分析。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在海外研发与制造层面，公司主要依托大陆济南、苏州、北京等地的研发与生产基地，海外目前尚未大规模设立独立整机工厂（与中国台湾、东南亚的代工/集成伙伴合作）。这种"研发与制造集中、营销与服务分散"的模式有利于成本控制，但在地缘冲突升级时也面临"产能地缘集中"风险。</w:t>
      </w:r>
    </w:p>
    <w:p>
      <w:r>
        <w:br w:type="page"/>
      </w:r>
    </w:p>
    <w:p>
      <w:pPr>
        <w:pStyle w:val="Heading2"/>
      </w:pPr>
      <w:r>
        <w:rPr>
          <w:rFonts w:ascii="Microsoft YaHei" w:hAnsi="Microsoft YaHei" w:eastAsia="Microsoft YaHei"/>
          <w:color w:val="2C5F9E"/>
          <w:sz w:val="26"/>
        </w:rPr>
        <w:t>4.5 代表性海外项目与大客户案例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尽管公开披露的海外项目细节有限，结合公司公告、行业研究与媒体报道，可识别以下代表性案例（部分内容为基于公开材料的合理推断）：</w:t>
      </w:r>
    </w:p>
    <w:p>
      <w:pPr>
        <w:pStyle w:val="Heading3"/>
      </w:pPr>
      <w:r>
        <w:rPr>
          <w:rFonts w:ascii="Microsoft YaHei" w:hAnsi="Microsoft YaHei" w:eastAsia="Microsoft YaHei"/>
          <w:color w:val="333333"/>
          <w:sz w:val="23"/>
        </w:rPr>
        <w:t>（1）东南亚：印尼/泰国/马来智算中心与本地云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东南亚是公司海外业务最重要的增量市场之一。印尼、马来西亚、泰国、新加坡、菲律宾正大规模建设国家智算与本地云基础设施，应对生成式 AI 应用爆发。2024 年 10 月，32 台搭载 2,304 块英伟达 Blackwell 芯片的 GB200 服务器由美国本土企业 Aivres（浪潮在美子公司）从加州出发运抵印尼雅加达，买方为印尼电信巨头 Indosat，总价值约 1 亿美元；该批服务器虽合同上由 Aivres 出货、Indosat 收货，但《华尔街日报》调查显示，实际接盘方为上海 AI 初创公司 INF Tech——其创始人齐源为复旦教授、MIT 博士。这一案例生动体现了中、美、东南亚三方在 AI 算力供应链上的"美国出关 → 东南亚落地 → 中国接盘"灰色路径，反映了 Aivres 这一本地化品牌的合规缓冲价值。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此外，公司依托新加坡代表处和马来西亚、印尼团队，提供通用服务器、AI 服务器、存储与液冷解决方案，参与了多个国家级智算中心项目、本地大型 SI 集成项目，以及面向金融、电信、互联网行业的私有云/公有云项目。该区域的特点是：（1）对美技术敏感度低，国产替代方案接受度高；（2）数据中心建设处于上行周期；（3）本地云大厂处于早期阶段，议价空间较大。</w:t>
      </w:r>
    </w:p>
    <w:p>
      <w:pPr>
        <w:pStyle w:val="Heading3"/>
      </w:pPr>
      <w:r>
        <w:rPr>
          <w:rFonts w:ascii="Microsoft YaHei" w:hAnsi="Microsoft YaHei" w:eastAsia="Microsoft YaHei"/>
          <w:color w:val="333333"/>
          <w:sz w:val="23"/>
        </w:rPr>
        <w:t>（2）中东：海湾国家智慧城市与能源行业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中东（沙特、阿联酋、卡塔尔等）是公司海外业务的另一战略增长极。在沙特"2030 愿景"、"智能迪拜"、卡塔尔国家数据中心等大型项目驱动下，海湾国家正在成为全球 AI 基础设施建设的"新蓝海"。公司通过迪拜中东代表处对接政府、能源、金融、电信客户，提供 AI 服务器、通用服务器、液冷数据中心解决方案。该区域的特点是：（1）项目规模大、单价高；（2）对供应商的本地化能力、合规性要求高；（3）地缘政治上相对中立，对中国厂商开放度较高。深度本地化的同行（如 Neuxnet 年营收近 3,000 万美元）已在中东形成示范效应。</w:t>
      </w:r>
    </w:p>
    <w:p>
      <w:pPr>
        <w:pStyle w:val="Heading3"/>
      </w:pPr>
      <w:r>
        <w:rPr>
          <w:rFonts w:ascii="Microsoft YaHei" w:hAnsi="Microsoft YaHei" w:eastAsia="Microsoft YaHei"/>
          <w:color w:val="333333"/>
          <w:sz w:val="23"/>
        </w:rPr>
        <w:t>（3）欧洲：欧盟核心市场与一带一路沿线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欧洲市场（德国、英国、法国、荷兰、北欧）公司主要服务于本地云厂商、电信运营商、金融机构、政企客户。欧洲市场对 GDPR、AI Act、数据主权等合规要求严格，公司在欧洲的服务器订单以通用服务器、存储、网络设备为主，AI 服务器订单受限于出口管制和地缘政治顾虑。中东欧（波兰、捷克、匈牙利）作为一带一路沿线国家，公司通过本地代表处与合作伙伴，提供面向政府、制造业、能源行业的数字化基础设施方案，形成对西欧市场的补充。Kaytus 平台在 2026 年 ISC 大会（国际超算大会）上推出 Gigawatt 级 AI Factory 全栈方案、Rack-Scale KSManage Ultra 智能管理平台，端到端工厂预制模块化 AI 工厂可在数月内部署完毕，这一产品矩阵主要面向欧洲及全球大型数据中心客户。</w:t>
      </w:r>
    </w:p>
    <w:p>
      <w:pPr>
        <w:pStyle w:val="Heading3"/>
      </w:pPr>
      <w:r>
        <w:rPr>
          <w:rFonts w:ascii="Microsoft YaHei" w:hAnsi="Microsoft YaHei" w:eastAsia="Microsoft YaHei"/>
          <w:color w:val="333333"/>
          <w:sz w:val="23"/>
        </w:rPr>
        <w:t>（4）拉美与非洲：新兴市场拓展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拉美（墨西哥、巴西、智利、哥伦比亚）和非洲（南非、肯尼亚、尼日利亚）处于数字化基础设施建设的早期阶段。公司通过当地代表处与合作伙伴，参与政企、教育、医疗、电信领域的基础设施项目，提供性价比高、定制化能力强的服务器与存储解决方案。该区域的特点是：（1）单笔订单规模相对较小；（2）需要较强的本地服务能力；（3）支付与回款周期较长。公司通常通过当地 SI 合作伙伴降低交付与回款风险。</w:t>
      </w:r>
    </w:p>
    <w:p>
      <w:pPr>
        <w:pStyle w:val="Heading3"/>
      </w:pPr>
      <w:r>
        <w:rPr>
          <w:rFonts w:ascii="Microsoft YaHei" w:hAnsi="Microsoft YaHei" w:eastAsia="Microsoft YaHei"/>
          <w:color w:val="333333"/>
          <w:sz w:val="23"/>
        </w:rPr>
        <w:t>（5）大客户案例：全球互联网与云厂商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虽然公司未公开披露具体客户名单，但根据行业惯例与公开信息推断，公司在海外市场的主要大客户包括：（1）全球大型云厂商——通过 JDM 模式提供 AI 算力定制化服务器，参与其大规模训练集群建设；（2）欧洲、中东、东南亚的电信运营商——为其私有云、NFV、边缘计算节点提供设备；（3）金融机构——为大型跨国银行、保险公司提供数据中心升级设备；（4）科研机构与高校——参与欧洲、北美、亚太的 HPC 集群项目；（5）政府与公共部门——参与部分一带一路沿线国家与海湾国家的政府数据中心项目。需要说明的是，2025 年 3 月扩大化制裁后，部分欧美大客户暂停或暂缓了与公司的合作，公司正通过 Kaytus、Aivres 等海外品牌平台以及"非美算力"方案、东南亚/中东区域项目、深度本地化运营逐步重建客户基础。</w:t>
      </w:r>
    </w:p>
    <w:p>
      <w:r>
        <w:br w:type="page"/>
      </w:r>
    </w:p>
    <w:p>
      <w:pPr>
        <w:pStyle w:val="Heading1"/>
      </w:pPr>
      <w:r>
        <w:rPr>
          <w:rFonts w:ascii="Microsoft YaHei" w:hAnsi="Microsoft YaHei" w:eastAsia="Microsoft YaHei"/>
          <w:color w:val="1F3A68"/>
          <w:sz w:val="32"/>
        </w:rPr>
        <w:t>五、海外核心子公司深度分析：Kaytus 与 Aivres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面对美国出口管制、欧盟 AI Act、各国数据本地化等合规壁垒，浪潮信息在 2023—2025 年对其海外业务进行了深度的"品牌隔离 + 本地化运营"重构。其中最具代表性的两个海外平台是 KAYTUS 与 Aivres：前者面向全球 70+ 国家与地区，后者深耕北美市场。两者既是 Inspur 系产品在海外的"延展品牌"，也是公司在地缘政治夹缝中保持全球市场存在感的"防火墙"。本章对二者进行系统深度分析。</w:t>
      </w:r>
    </w:p>
    <w:p>
      <w:pPr>
        <w:pStyle w:val="Heading2"/>
      </w:pPr>
      <w:r>
        <w:rPr>
          <w:rFonts w:ascii="Microsoft YaHei" w:hAnsi="Microsoft YaHei" w:eastAsia="Microsoft YaHei"/>
          <w:color w:val="2C5F9E"/>
          <w:sz w:val="26"/>
        </w:rPr>
        <w:t>5.1 Kaytus：全球品牌平台的崛起</w:t>
      </w:r>
    </w:p>
    <w:p>
      <w:pPr>
        <w:pStyle w:val="Heading3"/>
      </w:pPr>
      <w:r>
        <w:rPr>
          <w:rFonts w:ascii="Microsoft YaHei" w:hAnsi="Microsoft YaHei" w:eastAsia="Microsoft YaHei"/>
          <w:color w:val="333333"/>
          <w:sz w:val="23"/>
        </w:rPr>
        <w:t>（1）品牌背景与定位：从 Inspur 到 KAYTUS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KAYTUS（前身可追溯至 Inspur 国际业务线）是一家面向全球的 IT 基础设施产品与解决方案提供商，在云、AI、边缘等新兴场景中提供开放式、绿色的全栈基础设施。品牌名称来源于 "Kay" + "tus" 的组合，强调"以客户为中心（Customer-centric）"与"敏捷（Agile）"的服务哲学。Kaytus 平台的核心使命，是在不直接暴露 "Inspur" 母品牌的前提下，延续公司 JDM（联合设计制造）模式与海外 70+ 国家与地区的客户基础。Kaytus 控股有限公司（KAYTUS Holdings Co., Limited）注册于中国香港，另有 Kaytus Systems Pte. Ltd. 注册于新加坡，构成"亚太双核"的治理结构。根据 ZoomInfo、Tracxn、Bloomberg 等公开资料：——总部位置：新加坡（Central Singapore）—— Kaytus Systems Pte. Ltd. 作为全球总部；——成立时间：2008 年（Tracxn 资料）；——服务覆盖：70+ 国家与地区；——品牌曝光：LinkedIn 全球关注者 2,269+、X（Twitter）@KAYTUS_ 持续更新、Interop Tokyo 2026 / ISC 2026 / Computex 等国际展会定期亮相。</w:t>
      </w:r>
    </w:p>
    <w:p>
      <w:pPr>
        <w:pStyle w:val="Heading3"/>
      </w:pPr>
      <w:r>
        <w:rPr>
          <w:rFonts w:ascii="Microsoft YaHei" w:hAnsi="Microsoft YaHei" w:eastAsia="Microsoft YaHei"/>
          <w:color w:val="333333"/>
          <w:sz w:val="23"/>
        </w:rPr>
        <w:t>（2）海外分支机构与工厂网络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Kaytus 平台在海外构建了"亚太双核 + 三地制造 + 多区域代表处"的多层级网络。Pedab 等海外合作伙伴资料显示：Kaytus 拥有 8 个全球研发中心与 6 个全球生产基地；结合官方新闻稿"Manufacturing facilities in the United States, Vietnam, and Taiwan"的表述，其核心制造布局可清晰还原为"美国 + 越南 + 台湾"三地：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041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机构 / 工厂</w:t>
            </w:r>
          </w:p>
        </w:tc>
        <w:tc>
          <w:tcPr>
            <w:tcW w:type="dxa" w:w="1814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国家 / 城市</w:t>
            </w:r>
          </w:p>
        </w:tc>
        <w:tc>
          <w:tcPr>
            <w:tcW w:type="dxa" w:w="1474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类型</w:t>
            </w:r>
          </w:p>
        </w:tc>
        <w:tc>
          <w:tcPr>
            <w:tcW w:type="dxa" w:w="3742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核心职能</w:t>
            </w:r>
          </w:p>
        </w:tc>
      </w:tr>
      <w:tr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KAYTUS Systems Pte. Ltd.</w:t>
            </w:r>
          </w:p>
        </w:tc>
        <w:tc>
          <w:tcPr>
            <w:tcW w:type="dxa" w:w="181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新加坡</w:t>
            </w:r>
          </w:p>
        </w:tc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全球总部</w:t>
            </w:r>
          </w:p>
        </w:tc>
        <w:tc>
          <w:tcPr>
            <w:tcW w:type="dxa" w:w="3742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品牌运营、销售协调、研发协同</w:t>
            </w:r>
          </w:p>
        </w:tc>
      </w:tr>
      <w:tr>
        <w:tc>
          <w:tcPr>
            <w:tcW w:type="dxa" w:w="204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KAYTUS Holdings Co., Limited</w:t>
            </w:r>
          </w:p>
        </w:tc>
        <w:tc>
          <w:tcPr>
            <w:tcW w:type="dxa" w:w="181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中国香港（九龙湾）</w:t>
            </w:r>
          </w:p>
        </w:tc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亚太控股</w:t>
            </w:r>
          </w:p>
        </w:tc>
        <w:tc>
          <w:tcPr>
            <w:tcW w:type="dxa" w:w="3742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亚太双核之一，资本运作</w:t>
            </w:r>
          </w:p>
        </w:tc>
      </w:tr>
      <w:tr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Kaytus 美国制造基地</w:t>
            </w:r>
          </w:p>
        </w:tc>
        <w:tc>
          <w:tcPr>
            <w:tcW w:type="dxa" w:w="181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美国（多州）</w:t>
            </w:r>
          </w:p>
        </w:tc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工厂</w:t>
            </w:r>
          </w:p>
        </w:tc>
        <w:tc>
          <w:tcPr>
            <w:tcW w:type="dxa" w:w="3742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面向北美客户的服务器本地化制造（已由官方新闻稿确认）</w:t>
            </w:r>
          </w:p>
        </w:tc>
      </w:tr>
      <w:tr>
        <w:tc>
          <w:tcPr>
            <w:tcW w:type="dxa" w:w="204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Kaytus 越南工厂</w:t>
            </w:r>
          </w:p>
        </w:tc>
        <w:tc>
          <w:tcPr>
            <w:tcW w:type="dxa" w:w="181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越南</w:t>
            </w:r>
          </w:p>
        </w:tc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工厂</w:t>
            </w:r>
          </w:p>
        </w:tc>
        <w:tc>
          <w:tcPr>
            <w:tcW w:type="dxa" w:w="3742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面向东南亚及全球客户的服务器制造（已由官方新闻稿确认）</w:t>
            </w:r>
          </w:p>
        </w:tc>
      </w:tr>
      <w:tr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Kaytus 台湾工厂</w:t>
            </w:r>
          </w:p>
        </w:tc>
        <w:tc>
          <w:tcPr>
            <w:tcW w:type="dxa" w:w="181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中国台湾</w:t>
            </w:r>
          </w:p>
        </w:tc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工厂</w:t>
            </w:r>
          </w:p>
        </w:tc>
        <w:tc>
          <w:tcPr>
            <w:tcW w:type="dxa" w:w="3742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高端服务器与 Aivres 配套组件制造（已由官方新闻稿确认）</w:t>
            </w:r>
          </w:p>
        </w:tc>
      </w:tr>
      <w:tr>
        <w:tc>
          <w:tcPr>
            <w:tcW w:type="dxa" w:w="204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KAYTUS Korea</w:t>
            </w:r>
          </w:p>
        </w:tc>
        <w:tc>
          <w:tcPr>
            <w:tcW w:type="dxa" w:w="181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韩国（首尔）</w:t>
            </w:r>
          </w:p>
        </w:tc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区域子公司</w:t>
            </w:r>
          </w:p>
        </w:tc>
        <w:tc>
          <w:tcPr>
            <w:tcW w:type="dxa" w:w="3742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韩国市场销售，James Li 任 Korea President</w:t>
            </w:r>
          </w:p>
        </w:tc>
      </w:tr>
      <w:tr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KAYTUS Japan</w:t>
            </w:r>
          </w:p>
        </w:tc>
        <w:tc>
          <w:tcPr>
            <w:tcW w:type="dxa" w:w="181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日本</w:t>
            </w:r>
          </w:p>
        </w:tc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区域子公司</w:t>
            </w:r>
          </w:p>
        </w:tc>
        <w:tc>
          <w:tcPr>
            <w:tcW w:type="dxa" w:w="3742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日本市场销售，2026 年 Interop Tokyo 参展</w:t>
            </w:r>
          </w:p>
        </w:tc>
      </w:tr>
      <w:tr>
        <w:tc>
          <w:tcPr>
            <w:tcW w:type="dxa" w:w="204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KAYTUS Southeast Asia</w:t>
            </w:r>
          </w:p>
        </w:tc>
        <w:tc>
          <w:tcPr>
            <w:tcW w:type="dxa" w:w="181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新加坡/东盟</w:t>
            </w:r>
          </w:p>
        </w:tc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区域子公司</w:t>
            </w:r>
          </w:p>
        </w:tc>
        <w:tc>
          <w:tcPr>
            <w:tcW w:type="dxa" w:w="3742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东盟地区销售与服务</w:t>
            </w:r>
          </w:p>
        </w:tc>
      </w:tr>
      <w:tr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PT. ECS Indo Jaya</w:t>
            </w:r>
          </w:p>
        </w:tc>
        <w:tc>
          <w:tcPr>
            <w:tcW w:type="dxa" w:w="181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印度尼西亚</w:t>
            </w:r>
          </w:p>
        </w:tc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核心渠道伙伴</w:t>
            </w:r>
          </w:p>
        </w:tc>
        <w:tc>
          <w:tcPr>
            <w:tcW w:type="dxa" w:w="3742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Kaytus 印尼分销与系统集成伙伴</w:t>
            </w:r>
          </w:p>
        </w:tc>
      </w:tr>
      <w:tr>
        <w:tc>
          <w:tcPr>
            <w:tcW w:type="dxa" w:w="204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Exertis Enterprise</w:t>
            </w:r>
          </w:p>
        </w:tc>
        <w:tc>
          <w:tcPr>
            <w:tcW w:type="dxa" w:w="181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欧美（多国）</w:t>
            </w:r>
          </w:p>
        </w:tc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核心渠道伙伴</w:t>
            </w:r>
          </w:p>
        </w:tc>
        <w:tc>
          <w:tcPr>
            <w:tcW w:type="dxa" w:w="3742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Kaytus 在欧美市场的渠道合作（官方新闻稿确认）</w:t>
            </w:r>
          </w:p>
        </w:tc>
      </w:tr>
      <w:tr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Serial Achieva</w:t>
            </w:r>
          </w:p>
        </w:tc>
        <w:tc>
          <w:tcPr>
            <w:tcW w:type="dxa" w:w="181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ASEAN 多国</w:t>
            </w:r>
          </w:p>
        </w:tc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区域战略伙伴</w:t>
            </w:r>
          </w:p>
        </w:tc>
        <w:tc>
          <w:tcPr>
            <w:tcW w:type="dxa" w:w="3742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Kaytus 在东盟市场的 AI 与云计算战略合作（官方新闻稿确认）</w:t>
            </w:r>
          </w:p>
        </w:tc>
      </w:tr>
      <w:tr>
        <w:tc>
          <w:tcPr>
            <w:tcW w:type="dxa" w:w="204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德国法兰克福代表处</w:t>
            </w:r>
          </w:p>
        </w:tc>
        <w:tc>
          <w:tcPr>
            <w:tcW w:type="dxa" w:w="181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德国法兰克福</w:t>
            </w:r>
          </w:p>
        </w:tc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欧洲代表处</w:t>
            </w:r>
          </w:p>
        </w:tc>
        <w:tc>
          <w:tcPr>
            <w:tcW w:type="dxa" w:w="3742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ISC 2026 旗舰活动主办地</w:t>
            </w:r>
          </w:p>
        </w:tc>
      </w:tr>
      <w:tr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Pedab</w:t>
            </w:r>
          </w:p>
        </w:tc>
        <w:tc>
          <w:tcPr>
            <w:tcW w:type="dxa" w:w="181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北欧（芬兰等）</w:t>
            </w:r>
          </w:p>
        </w:tc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区域渠道伙伴</w:t>
            </w:r>
          </w:p>
        </w:tc>
        <w:tc>
          <w:tcPr>
            <w:tcW w:type="dxa" w:w="3742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欧洲、北欧及波罗的海区域分销伙伴</w:t>
            </w:r>
          </w:p>
        </w:tc>
      </w:tr>
    </w:tbl>
    <w:p/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工厂层面，Kaytus 在三个国家拥有生产设施（基于官方新闻稿披露），形成多产地、本地化交付能力：——美国工厂：面向北美客户，提供本地化生产选项，规避美国关税与本地化要求，与 Aivres 加州圣何塞总部与制造形成"双产地"协同；——越南工厂：面向东南亚、中东、澳洲等市场，是公司应对中美摩擦的核心产能之一；2024 年 12 月 KAYTUS Korea Partner Summit 在越南河内举办，侧面印证 Kaytus 在越南的本地化运营深度。——台湾工厂：承载高端服务器制造，与 Aivres 形成配套，延续 Inspur 系产品在台湾长期积累的代工与制造能力。注：上述工厂布局来源于 Kaytus 官方新闻稿；公司尚未在官网"About"页面公开每个工厂的具体城市与产能细节。</w:t>
      </w:r>
    </w:p>
    <w:p>
      <w:pPr>
        <w:pStyle w:val="Heading3"/>
      </w:pPr>
      <w:r>
        <w:rPr>
          <w:rFonts w:ascii="Microsoft YaHei" w:hAnsi="Microsoft YaHei" w:eastAsia="Microsoft YaHei"/>
          <w:color w:val="333333"/>
          <w:sz w:val="23"/>
        </w:rPr>
        <w:t>（3）产品矩阵：基于官网抓取的实时产品列表（2026/08）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根据 Kaytus 官网 "Rack and Tower Servers" / "Multi-Node Servers" / "Edge Computing" 三个产品页面2026 年 8 月抓取的公开数据，Kaytus 在售产品按形态分为四大类——机架与塔式服务器、多节点服务器、边缘服务器、AI/GPU 解决方案层。需要客观指出的是，Kaytus 官网产品页未给出独立的 8-GPU HGX SKU 列表，其 AI/GPU 算力由关联平台 Aivres 承担（详见 5.2 与 5.3 节）。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/>
          <w:i w:val="0"/>
          <w:sz w:val="21"/>
        </w:rPr>
        <w:t>【1】机架与塔式服务器（Rack and Tower Servers）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701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系列</w:t>
            </w:r>
          </w:p>
        </w:tc>
        <w:tc>
          <w:tcPr>
            <w:tcW w:type="dxa" w:w="3061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型号</w:t>
            </w:r>
          </w:p>
        </w:tc>
        <w:tc>
          <w:tcPr>
            <w:tcW w:type="dxa" w:w="1020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形态</w:t>
            </w:r>
          </w:p>
        </w:tc>
        <w:tc>
          <w:tcPr>
            <w:tcW w:type="dxa" w:w="2041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CPU 平台</w:t>
            </w:r>
          </w:p>
        </w:tc>
        <w:tc>
          <w:tcPr>
            <w:tcW w:type="dxa" w:w="2608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详情</w:t>
            </w:r>
          </w:p>
        </w:tc>
      </w:tr>
      <w:tr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V3（Intel Xeon 6）</w:t>
            </w:r>
          </w:p>
        </w:tc>
        <w:tc>
          <w:tcPr>
            <w:tcW w:type="dxa" w:w="306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KR1180V3 / KR1280V3 / KR2280V3 / KR2190V3 / KR4266V3 / KR4480V3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1U/2U/4U</w:t>
            </w:r>
          </w:p>
        </w:tc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Intel Xeon 6</w:t>
            </w:r>
          </w:p>
        </w:tc>
        <w:tc>
          <w:tcPr>
            <w:tcW w:type="dxa" w:w="260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V3 平台 Intel 系列，部分型号标注 "Not available in the United States"</w:t>
            </w:r>
          </w:p>
        </w:tc>
      </w:tr>
      <w:tr>
        <w:tc>
          <w:tcPr>
            <w:tcW w:type="dxa" w:w="170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V3（AMD EPYC 9005）</w:t>
            </w:r>
          </w:p>
        </w:tc>
        <w:tc>
          <w:tcPr>
            <w:tcW w:type="dxa" w:w="306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KR1180V3 / KR1280V3 / KR2180V3 / KR2280V3 / KR2190V3</w:t>
            </w:r>
          </w:p>
        </w:tc>
        <w:tc>
          <w:tcPr>
            <w:tcW w:type="dxa" w:w="1020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1U/2U</w:t>
            </w:r>
          </w:p>
        </w:tc>
        <w:tc>
          <w:tcPr>
            <w:tcW w:type="dxa" w:w="204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AMD EPYC 9005</w:t>
            </w:r>
          </w:p>
        </w:tc>
        <w:tc>
          <w:tcPr>
            <w:tcW w:type="dxa" w:w="260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V3 平台 AMD 系列</w:t>
            </w:r>
          </w:p>
        </w:tc>
      </w:tr>
      <w:tr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V2（Intel）</w:t>
            </w:r>
          </w:p>
        </w:tc>
        <w:tc>
          <w:tcPr>
            <w:tcW w:type="dxa" w:w="306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KR1270V2 / KR1280V2 / KR2280V2 / KR2266V2 / KR4266V2 / KR4276V2 / KR2460V2 / KR4480V2 / KR6880V2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1U/2U/4U/6U</w:t>
            </w:r>
          </w:p>
        </w:tc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4th/5th Gen Intel Xeon Scalable</w:t>
            </w:r>
          </w:p>
        </w:tc>
        <w:tc>
          <w:tcPr>
            <w:tcW w:type="dxa" w:w="260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V2 平台 Intel 系列</w:t>
            </w:r>
          </w:p>
        </w:tc>
      </w:tr>
      <w:tr>
        <w:tc>
          <w:tcPr>
            <w:tcW w:type="dxa" w:w="170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V2（AMD）</w:t>
            </w:r>
          </w:p>
        </w:tc>
        <w:tc>
          <w:tcPr>
            <w:tcW w:type="dxa" w:w="306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KR1180V2 / KR1280V2 / KR2180V2 / KR2280V2</w:t>
            </w:r>
          </w:p>
        </w:tc>
        <w:tc>
          <w:tcPr>
            <w:tcW w:type="dxa" w:w="1020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1U/2U</w:t>
            </w:r>
          </w:p>
        </w:tc>
        <w:tc>
          <w:tcPr>
            <w:tcW w:type="dxa" w:w="204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4th Gen AMD EPYC</w:t>
            </w:r>
          </w:p>
        </w:tc>
        <w:tc>
          <w:tcPr>
            <w:tcW w:type="dxa" w:w="260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V2 平台 AMD 系列</w:t>
            </w:r>
          </w:p>
        </w:tc>
      </w:tr>
      <w:tr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塔式 / 工作站</w:t>
            </w:r>
          </w:p>
        </w:tc>
        <w:tc>
          <w:tcPr>
            <w:tcW w:type="dxa" w:w="306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KT3020V2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塔式</w:t>
            </w:r>
          </w:p>
        </w:tc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Intel Xeon E-series 或 Pentium</w:t>
            </w:r>
          </w:p>
        </w:tc>
        <w:tc>
          <w:tcPr>
            <w:tcW w:type="dxa" w:w="260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入门级塔式工作站</w:t>
            </w:r>
          </w:p>
        </w:tc>
      </w:tr>
    </w:tbl>
    <w:p/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/>
          <w:i w:val="0"/>
          <w:sz w:val="21"/>
        </w:rPr>
        <w:t>【2】多节点服务器（Multi-Node Servers）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1701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型号</w:t>
            </w:r>
          </w:p>
        </w:tc>
        <w:tc>
          <w:tcPr>
            <w:tcW w:type="dxa" w:w="1020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形态</w:t>
            </w:r>
          </w:p>
        </w:tc>
        <w:tc>
          <w:tcPr>
            <w:tcW w:type="dxa" w:w="5329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CPU / 节点配置</w:t>
            </w:r>
          </w:p>
        </w:tc>
      </w:tr>
      <w:tr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K24V3（Intel）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2U</w:t>
            </w:r>
          </w:p>
        </w:tc>
        <w:tc>
          <w:tcPr>
            <w:tcW w:type="dxa" w:w="5329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4 节点 × 2× Intel Xeon 6</w:t>
            </w:r>
          </w:p>
        </w:tc>
      </w:tr>
      <w:tr>
        <w:tc>
          <w:tcPr>
            <w:tcW w:type="dxa" w:w="170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K24V3（AMD）</w:t>
            </w:r>
          </w:p>
        </w:tc>
        <w:tc>
          <w:tcPr>
            <w:tcW w:type="dxa" w:w="1020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2U</w:t>
            </w:r>
          </w:p>
        </w:tc>
        <w:tc>
          <w:tcPr>
            <w:tcW w:type="dxa" w:w="5329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4 节点 × 2× AMD EPYC 9005</w:t>
            </w:r>
          </w:p>
        </w:tc>
      </w:tr>
      <w:tr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K22V3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2U</w:t>
            </w:r>
          </w:p>
        </w:tc>
        <w:tc>
          <w:tcPr>
            <w:tcW w:type="dxa" w:w="5329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 节点 × 1× AMD EPYC 9005</w:t>
            </w:r>
          </w:p>
        </w:tc>
      </w:tr>
      <w:tr>
        <w:tc>
          <w:tcPr>
            <w:tcW w:type="dxa" w:w="170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K24V2（Intel）</w:t>
            </w:r>
          </w:p>
        </w:tc>
        <w:tc>
          <w:tcPr>
            <w:tcW w:type="dxa" w:w="1020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2U</w:t>
            </w:r>
          </w:p>
        </w:tc>
        <w:tc>
          <w:tcPr>
            <w:tcW w:type="dxa" w:w="5329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4 节点 × 2× 4th/5th Gen Intel Xeon Scalable</w:t>
            </w:r>
          </w:p>
        </w:tc>
      </w:tr>
      <w:tr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K24V2（AMD）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2U</w:t>
            </w:r>
          </w:p>
        </w:tc>
        <w:tc>
          <w:tcPr>
            <w:tcW w:type="dxa" w:w="5329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4 节点 × 2× AMD EPYC 9004</w:t>
            </w:r>
          </w:p>
        </w:tc>
      </w:tr>
      <w:tr>
        <w:tc>
          <w:tcPr>
            <w:tcW w:type="dxa" w:w="170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K22V2</w:t>
            </w:r>
          </w:p>
        </w:tc>
        <w:tc>
          <w:tcPr>
            <w:tcW w:type="dxa" w:w="1020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2U</w:t>
            </w:r>
          </w:p>
        </w:tc>
        <w:tc>
          <w:tcPr>
            <w:tcW w:type="dxa" w:w="5329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 节点 × 1× AMD EPYC 9004</w:t>
            </w:r>
          </w:p>
        </w:tc>
      </w:tr>
    </w:tbl>
    <w:p/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/>
          <w:i w:val="0"/>
          <w:sz w:val="21"/>
        </w:rPr>
        <w:t>【3】边缘服务器（Edge Computing）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1474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型号</w:t>
            </w:r>
          </w:p>
        </w:tc>
        <w:tc>
          <w:tcPr>
            <w:tcW w:type="dxa" w:w="907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形态</w:t>
            </w:r>
          </w:p>
        </w:tc>
        <w:tc>
          <w:tcPr>
            <w:tcW w:type="dxa" w:w="5669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CPU / GPU 扩展</w:t>
            </w:r>
          </w:p>
        </w:tc>
      </w:tr>
      <w:tr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KE1120V1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1U</w:t>
            </w:r>
          </w:p>
        </w:tc>
        <w:tc>
          <w:tcPr>
            <w:tcW w:type="dxa" w:w="5669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1× Intel Xeon-E Coffee Lake，TDP 95W，2 GPU</w:t>
            </w:r>
          </w:p>
        </w:tc>
      </w:tr>
      <w:tr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KE1160V1</w:t>
            </w:r>
          </w:p>
        </w:tc>
        <w:tc>
          <w:tcPr>
            <w:tcW w:type="dxa" w:w="907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1U</w:t>
            </w:r>
          </w:p>
        </w:tc>
        <w:tc>
          <w:tcPr>
            <w:tcW w:type="dxa" w:w="5669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1× Intel Xeon-D Skylake，TDP 110W，2 GPU</w:t>
            </w:r>
          </w:p>
        </w:tc>
      </w:tr>
      <w:tr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KE1160V2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1U</w:t>
            </w:r>
          </w:p>
        </w:tc>
        <w:tc>
          <w:tcPr>
            <w:tcW w:type="dxa" w:w="5669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1× 4th/5th Gen Intel Xeon Scalable，2 GPU，2 PCIe</w:t>
            </w:r>
          </w:p>
        </w:tc>
      </w:tr>
      <w:tr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KE2260V1</w:t>
            </w:r>
          </w:p>
        </w:tc>
        <w:tc>
          <w:tcPr>
            <w:tcW w:type="dxa" w:w="907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2U</w:t>
            </w:r>
          </w:p>
        </w:tc>
        <w:tc>
          <w:tcPr>
            <w:tcW w:type="dxa" w:w="5669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2× 2nd Gen Intel Xeon Scalable，TDP 205W，4 GPU，6 PCIe</w:t>
            </w:r>
          </w:p>
        </w:tc>
      </w:tr>
      <w:tr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KE2260V2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2U</w:t>
            </w:r>
          </w:p>
        </w:tc>
        <w:tc>
          <w:tcPr>
            <w:tcW w:type="dxa" w:w="5669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2× 4th/5th Gen Intel Xeon Scalable，4 GPU，6 PCIe</w:t>
            </w:r>
          </w:p>
        </w:tc>
      </w:tr>
      <w:tr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KE4160V1</w:t>
            </w:r>
          </w:p>
        </w:tc>
        <w:tc>
          <w:tcPr>
            <w:tcW w:type="dxa" w:w="907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4U</w:t>
            </w:r>
          </w:p>
        </w:tc>
        <w:tc>
          <w:tcPr>
            <w:tcW w:type="dxa" w:w="5669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1× 2nd Gen Intel Xeon Scalable，TDP 105W，2 GPU</w:t>
            </w:r>
          </w:p>
        </w:tc>
      </w:tr>
      <w:tr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KES200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1U</w:t>
            </w:r>
          </w:p>
        </w:tc>
        <w:tc>
          <w:tcPr>
            <w:tcW w:type="dxa" w:w="5669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NVIDIA Jetson Nano / TX2 NX / Xavier NX / Orin Nano 模块</w:t>
            </w:r>
          </w:p>
        </w:tc>
      </w:tr>
      <w:tr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KES860</w:t>
            </w:r>
          </w:p>
        </w:tc>
        <w:tc>
          <w:tcPr>
            <w:tcW w:type="dxa" w:w="907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2U</w:t>
            </w:r>
          </w:p>
        </w:tc>
        <w:tc>
          <w:tcPr>
            <w:tcW w:type="dxa" w:w="5669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NVIDIA Jetson AGX Orin 模块</w:t>
            </w:r>
          </w:p>
        </w:tc>
      </w:tr>
    </w:tbl>
    <w:p/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/>
          <w:i w:val="0"/>
          <w:sz w:val="21"/>
        </w:rPr>
        <w:t>【4】AI / GPU 服务器：Kaytus 官网公开页面中无独立 8-GPU SKU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客观说明：Kaytus 官网 "Full Stack AI" 页面仅展示 AI Factory、AI 集群、RDMA 互联、LLM ToolChain、MotusAI、PODsys 等解决方案层概念，未在产品列表中给出独立的 8-GPU HGX SKU。公开市场上 HGX 8-GPU 服务器（KR6288 / KR5288 / KR9288 / KR6298 等）全部由 Aivres 销售并已在 5.2 与 5.3 节完整披露。Kaytus 侧的 GPU "多源策略"由 Aivres 实际承担：NVIDIA Hopper/Blackwell/Vera Rubin、AMD Instinct MI300X、Intel Gaudi 2、PCIe L40S/RTX PRO 6000 Blackwell 等。全栈 AI Factory 解决方案可在数月内部署完毕，基础单元为 3MW，可扩展至 1GW 级，单工厂总部署周期从行业平均 12—18 个月压缩至 6—8 个月内（X @KAYTUS_ 官方表述）。KSManage Ultra 管理平台提供 GPU、机柜、数据中心级全栈可视化。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在核心技术方面，Kaytus 主推四大方向：（1）终极创新——支持最广泛的处理器平台、场景驱动设计、极致质量控制；（2）全栈 AI——从系统、软件到算法的端到端赋能；（3）All in 液冷——全面拥抱液冷战略，聚焦节能与低碳；（4）客户中心——以联合设计制造（JDM）业务模式为创新铺路，为 70 多个国家与地区提供敏捷服务。</w:t>
      </w:r>
    </w:p>
    <w:p>
      <w:pPr>
        <w:pStyle w:val="Heading3"/>
      </w:pPr>
      <w:r>
        <w:rPr>
          <w:rFonts w:ascii="Microsoft YaHei" w:hAnsi="Microsoft YaHei" w:eastAsia="Microsoft YaHei"/>
          <w:color w:val="333333"/>
          <w:sz w:val="23"/>
        </w:rPr>
        <w:t>（4）成功案例与海外客户（基于 kaytus.com/case-studies 抓取）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根据 Kaytus 官网 case-studies 页面 11 个公开成功案例的完整内容，按地区与行业梳理如下表。需客观指出：除合作伙伴/案例场景外，Kaytus 案例页对客户具体名称大多采取"a leading XXX"匿名披露，以下客户行业、国家与产品型号均来自案例页正文。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361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案例</w:t>
            </w:r>
          </w:p>
        </w:tc>
        <w:tc>
          <w:tcPr>
            <w:tcW w:type="dxa" w:w="2154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客户 / 国家 / 行业</w:t>
            </w:r>
          </w:p>
        </w:tc>
        <w:tc>
          <w:tcPr>
            <w:tcW w:type="dxa" w:w="2268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Kaytus 解决方案</w:t>
            </w:r>
          </w:p>
        </w:tc>
        <w:tc>
          <w:tcPr>
            <w:tcW w:type="dxa" w:w="1928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产品 / 平台</w:t>
            </w:r>
          </w:p>
        </w:tc>
        <w:tc>
          <w:tcPr>
            <w:tcW w:type="dxa" w:w="2608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关键成果（量化指标）</w:t>
            </w:r>
          </w:p>
        </w:tc>
      </w:tr>
      <w:tr>
        <w:tc>
          <w:tcPr>
            <w:tcW w:type="dxa" w:w="136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日本集装箱数据中心</w:t>
            </w:r>
          </w:p>
        </w:tc>
        <w:tc>
          <w:tcPr>
            <w:tcW w:type="dxa" w:w="215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日本领先集装箱数据中心（Tokio + Niigata 双 DC，500+ 服务器）/ 日本 / 云服务</w:t>
            </w:r>
          </w:p>
        </w:tc>
        <w:tc>
          <w:tcPr>
            <w:tcW w:type="dxa" w:w="22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3 个月内完成 AI 服务器集群部署（行业平均 10 个月）</w:t>
            </w:r>
          </w:p>
        </w:tc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Kaytus V2 6U2S 旗舰 AI 服务器（适配 Sapphire Rapids）</w:t>
            </w:r>
          </w:p>
        </w:tc>
        <w:tc>
          <w:tcPr>
            <w:tcW w:type="dxa" w:w="260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算力 ×2.8、运营效率 ×2、LLM 训练速度 ×3、PUE 优化 -20% 能耗、2024 客户增长 +50%</w:t>
            </w:r>
          </w:p>
        </w:tc>
      </w:tr>
      <w:tr>
        <w:tc>
          <w:tcPr>
            <w:tcW w:type="dxa" w:w="136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中东银行 AI 算力中心</w:t>
            </w:r>
          </w:p>
        </w:tc>
        <w:tc>
          <w:tcPr>
            <w:tcW w:type="dxa" w:w="215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中东某领先商业银行 / 中东 / 银行业</w:t>
            </w:r>
          </w:p>
        </w:tc>
        <w:tc>
          <w:tcPr>
            <w:tcW w:type="dxa" w:w="226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RoCE 虚拟化 + SR-IOV + P2P 镜像分发 + 异构资源统一调度</w:t>
            </w:r>
          </w:p>
        </w:tc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MotusAI 平台（已部署近 1,000 个在线推理场景）</w:t>
            </w:r>
          </w:p>
        </w:tc>
        <w:tc>
          <w:tcPr>
            <w:tcW w:type="dxa" w:w="260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训练周期 1 周 → 1 天（×7）、ResNet50 训练 +94%、镜像分发 -50%、运维成本 -30%</w:t>
            </w:r>
          </w:p>
        </w:tc>
      </w:tr>
      <w:tr>
        <w:tc>
          <w:tcPr>
            <w:tcW w:type="dxa" w:w="136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韩国车企 L4 自动驾驶</w:t>
            </w:r>
          </w:p>
        </w:tc>
        <w:tc>
          <w:tcPr>
            <w:tcW w:type="dxa" w:w="215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韩国头部车企 / 韩国 / 汽车（自动驾驶）</w:t>
            </w:r>
          </w:p>
        </w:tc>
        <w:tc>
          <w:tcPr>
            <w:tcW w:type="dxa" w:w="22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端到端 AI 生命周期 + 并发 4—5 个训练任务 + 分钟级调度</w:t>
            </w:r>
          </w:p>
        </w:tc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MotusAI 平台</w:t>
            </w:r>
          </w:p>
        </w:tc>
        <w:tc>
          <w:tcPr>
            <w:tcW w:type="dxa" w:w="260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资源利用率 70% → 90%+、训练效率 +35%、训练周期 -66%</w:t>
            </w:r>
          </w:p>
        </w:tc>
      </w:tr>
      <w:tr>
        <w:tc>
          <w:tcPr>
            <w:tcW w:type="dxa" w:w="136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欧洲医院 AI 诊疗</w:t>
            </w:r>
          </w:p>
        </w:tc>
        <w:tc>
          <w:tcPr>
            <w:tcW w:type="dxa" w:w="215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欧洲领先综合医院 / 欧洲 / 医疗</w:t>
            </w:r>
          </w:p>
        </w:tc>
        <w:tc>
          <w:tcPr>
            <w:tcW w:type="dxa" w:w="226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MotusAI 资源池 + 影像系统集成 + 端到端加密（满足 EU 数据合规）</w:t>
            </w:r>
          </w:p>
        </w:tc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MotusAI 平台（本地化部署）</w:t>
            </w:r>
          </w:p>
        </w:tc>
        <w:tc>
          <w:tcPr>
            <w:tcW w:type="dxa" w:w="260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训练周期周 → 天、GPU 利用率 80%+、AI 分诊/诊断/医生助手上线</w:t>
            </w:r>
          </w:p>
        </w:tc>
      </w:tr>
      <w:tr>
        <w:tc>
          <w:tcPr>
            <w:tcW w:type="dxa" w:w="136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日本高校科研 AI for Science</w:t>
            </w:r>
          </w:p>
        </w:tc>
        <w:tc>
          <w:tcPr>
            <w:tcW w:type="dxa" w:w="215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日本某顶尖研究型大学 / 日本 / 教育科研</w:t>
            </w:r>
          </w:p>
        </w:tc>
        <w:tc>
          <w:tcPr>
            <w:tcW w:type="dxa" w:w="22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MotusAI 多租户隔离 + 优先级调度 + 异构计算</w:t>
            </w:r>
          </w:p>
        </w:tc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MotusAI 平台</w:t>
            </w:r>
          </w:p>
        </w:tc>
        <w:tc>
          <w:tcPr>
            <w:tcW w:type="dxa" w:w="260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GPU 利用率 90%+、有效算力时间 90%+、运维负担 -50%</w:t>
            </w:r>
          </w:p>
        </w:tc>
      </w:tr>
      <w:tr>
        <w:tc>
          <w:tcPr>
            <w:tcW w:type="dxa" w:w="136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泰国制造 3D 视觉</w:t>
            </w:r>
          </w:p>
        </w:tc>
        <w:tc>
          <w:tcPr>
            <w:tcW w:type="dxa" w:w="215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泰国某领先制造企业（机器人/3D 扫描/AR 应用）/ 泰国 / 智能制造</w:t>
            </w:r>
          </w:p>
        </w:tc>
        <w:tc>
          <w:tcPr>
            <w:tcW w:type="dxa" w:w="226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MotusAI 数据感知调度 + P2P 镜像 + 高性能存储池</w:t>
            </w:r>
          </w:p>
        </w:tc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MotusAI 平台 + Kaytus AI 服务器</w:t>
            </w:r>
          </w:p>
        </w:tc>
        <w:tc>
          <w:tcPr>
            <w:tcW w:type="dxa" w:w="260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3D 训练时间 -50%、样本调度效率 +30%、单实例点云数据 1TB+</w:t>
            </w:r>
          </w:p>
        </w:tc>
      </w:tr>
      <w:tr>
        <w:tc>
          <w:tcPr>
            <w:tcW w:type="dxa" w:w="136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土耳其电商平台 2,500 节点</w:t>
            </w:r>
          </w:p>
        </w:tc>
        <w:tc>
          <w:tcPr>
            <w:tcW w:type="dxa" w:w="215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土耳其头部电商平台（伊斯坦布尔总部，覆盖 MENA 12 条产品线）/ 土耳其 / 电商</w:t>
            </w:r>
          </w:p>
        </w:tc>
        <w:tc>
          <w:tcPr>
            <w:tcW w:type="dxa" w:w="22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定制 BIOS + ISPIM 统一管理 + 全栈节点部署</w:t>
            </w:r>
          </w:p>
        </w:tc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KR2280V2 + KR1270V2 + ISPIM 管理软件（共 2,500 节点）</w:t>
            </w:r>
          </w:p>
        </w:tc>
        <w:tc>
          <w:tcPr>
            <w:tcW w:type="dxa" w:w="260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单机功耗 -30%、部署周期缩至传统 16%、运维成本 -30%、黑色星期五零事故</w:t>
            </w:r>
          </w:p>
        </w:tc>
      </w:tr>
      <w:tr>
        <w:tc>
          <w:tcPr>
            <w:tcW w:type="dxa" w:w="136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波兰头部门户网站</w:t>
            </w:r>
          </w:p>
        </w:tc>
        <w:tc>
          <w:tcPr>
            <w:tcW w:type="dxa" w:w="215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波兰最大访问量门户平台（百万级日活）/ 波兰 / 互联网</w:t>
            </w:r>
          </w:p>
        </w:tc>
        <w:tc>
          <w:tcPr>
            <w:tcW w:type="dxa" w:w="226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1U2S + 2U2S Intel 服务器 + VMware 虚拟化 + 自研 NVMe SSD</w:t>
            </w:r>
          </w:p>
        </w:tc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1U2-Socket + 2U2-Socket Intel 机架服务器 + 自研 NVMe SSD</w:t>
            </w:r>
          </w:p>
        </w:tc>
        <w:tc>
          <w:tcPr>
            <w:tcW w:type="dxa" w:w="260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资源利用率 +20%、存储扩容 100% 流量、设备成本 -15%</w:t>
            </w:r>
          </w:p>
        </w:tc>
      </w:tr>
      <w:tr>
        <w:tc>
          <w:tcPr>
            <w:tcW w:type="dxa" w:w="136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波兰 140 年公共交通</w:t>
            </w:r>
          </w:p>
        </w:tc>
        <w:tc>
          <w:tcPr>
            <w:tcW w:type="dxa" w:w="215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波兰某 140 年历史公共交通公司（铁路调度+售票）/ 波兰 / 公共部门</w:t>
            </w:r>
          </w:p>
        </w:tc>
        <w:tc>
          <w:tcPr>
            <w:tcW w:type="dxa" w:w="22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全新数据中心架构 + VMware 池化 + InManage 集中管理</w:t>
            </w:r>
          </w:p>
        </w:tc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KR2280-V2 + InManage 数据中心管理软件</w:t>
            </w:r>
          </w:p>
        </w:tc>
        <w:tc>
          <w:tcPr>
            <w:tcW w:type="dxa" w:w="260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算力 +30%、存储 +50%、设备利用率 +20%、能耗 -25%、运维成本 -30%</w:t>
            </w:r>
          </w:p>
        </w:tc>
      </w:tr>
      <w:tr>
        <w:tc>
          <w:tcPr>
            <w:tcW w:type="dxa" w:w="136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德国精英大学 HPC</w:t>
            </w:r>
          </w:p>
        </w:tc>
        <w:tc>
          <w:tcPr>
            <w:tcW w:type="dxa" w:w="215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德国某精英大学（其 IT 中心为国家 NHR 超算中心之一）/ 德国 / 高教科研</w:t>
            </w:r>
          </w:p>
        </w:tc>
        <w:tc>
          <w:tcPr>
            <w:tcW w:type="dxa" w:w="226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液冷高密度 K24V2 多节点 + 温水冷板 + 漏液自动断电</w:t>
            </w:r>
          </w:p>
        </w:tc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K24V2 液冷多节点服务器（约 700 计算节点 / 30,000+ 核 / 5,000 TFLOPS）</w:t>
            </w:r>
          </w:p>
        </w:tc>
        <w:tc>
          <w:tcPr>
            <w:tcW w:type="dxa" w:w="260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冷却效率 +80%、数据中心冷却成本 -30%~40%、PUE &lt; 1.1、运维 -30%</w:t>
            </w:r>
          </w:p>
        </w:tc>
      </w:tr>
      <w:tr>
        <w:tc>
          <w:tcPr>
            <w:tcW w:type="dxa" w:w="136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韩国跨国企业 BIOS 定制</w:t>
            </w:r>
          </w:p>
        </w:tc>
        <w:tc>
          <w:tcPr>
            <w:tcW w:type="dxa" w:w="215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韩国某知名跨国企业 / 韩国 / 互联网</w:t>
            </w:r>
          </w:p>
        </w:tc>
        <w:tc>
          <w:tcPr>
            <w:tcW w:type="dxa" w:w="22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定制服务器 BIOS 联合开发</w:t>
            </w:r>
          </w:p>
        </w:tc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定制 BIOS（型号未披露）</w:t>
            </w:r>
          </w:p>
        </w:tc>
        <w:tc>
          <w:tcPr>
            <w:tcW w:type="dxa" w:w="260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—（案例页未提供量化指标）</w:t>
            </w:r>
          </w:p>
        </w:tc>
      </w:tr>
    </w:tbl>
    <w:p/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【补充】区域渠道合作与展会动态（非具体客户案例）：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——与 Serial Achieva 达成东盟战略合作：双方共同加速在东盟市场的 AI 与云计算布局，覆盖新加坡、马来西亚、泰国、印尼、菲律宾、越南等核心国家；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——与 Exertis Enterprise 达成欧美渠道合作：Exertis 作为欧美领先的技术分销商，将 Kaytus 全栈 AI 服务器、通用服务器、存储与液冷产品引入欧美企业级渠道；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——与 PT. ECS Indo Jaya（印度尼西亚）合作：作为 Kaytus 在印尼的核心分销伙伴，覆盖印尼本地云、电信、政府、金融等客户；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——ISC 2026 旗舰发布：2026 年 6 月 24 日在德国法兰克福 ISC 2026 上发布Gigawatt 级 AI 基础设施 + KSManage Ultra 管理平台，面向欧洲与全球大型 AI 数据中心客户；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——Interop Tokyo 2026 参展：2026 年 6 月 10—12 日亮相日本 Interop Tokyo，强化日本市场品牌曝光。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【行业覆盖与客户洞察】从 11 个公开案例看，Kaytus 海外客户呈现"5+2+3+1"格局：5 个亚太（日本 3 + 韩国 2）、2 个欧洲（德国 + 波兰 2）、3 个中东欧与土耳其（土耳其 + 波兰 + 中东）、1 个欧洲医疗。行业覆盖教育/科研、医疗、银行、汽车、电商、云/数据中心、交通、智能制造 8 大行业。其中 8 个案例直接量化了成果，最显著的指标包括：中东银行训练周期 1 周→1 天（×7）、韩国车企训练周期 -66%、波兰电商黑色星期五零事故、德国高校 PUE &lt; 1.1 + 冷却 -80%、波兰 140 年公共交通能耗 -25% + 运维 -30%。MotusAI 平台是这些案例中最核心的"软件差异化要素"，硬件层面以 K24V2 液冷多节点、KR2280-V2 通算、V2 6U2S AI 服务器三类机型为主。</w:t>
      </w:r>
    </w:p>
    <w:p>
      <w:pPr>
        <w:pStyle w:val="Heading3"/>
      </w:pPr>
      <w:r>
        <w:rPr>
          <w:rFonts w:ascii="Microsoft YaHei" w:hAnsi="Microsoft YaHei" w:eastAsia="Microsoft YaHei"/>
          <w:color w:val="333333"/>
          <w:sz w:val="23"/>
        </w:rPr>
        <w:t>（5）2026 年最新产品发布与市场动作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2026 年 6 月 24 日，Kaytus 在德国法兰克福 ISC 2026（国际超算大会）上连续发布两款重磅产品：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【背景】2024 年 11 月 6 日，Kaytus 已正式发布 V3 系列新品，共推出 17 个型号，覆盖机架、塔式、多节点、AI 服务器全形态，新一代 V3 平台同步支持 Intel Xeon 6 与 5th Gen AMD EPYC 9005，其中 KR2280V3 率先引入 CXL 2.0 内存池化标准，为后续 AI / 内存密集型负载提供更高带宽与扩展性。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——Gigawatt 级 AI 基础设施与智能管理方案：端到端、完全工厂预制模块化 AI Factory，部署周期从行业平均的 12—18 个月压缩至几个月，全栈智能管理从 GPU、机柜覆盖到整个数据中心；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——Rack-Scale KSManage Ultra 平台：提供 GPU、机柜、数据中心的全栈可视化，融合带内（in-band）与带外（out-of-band）系统管理，定位是解决 AI 工厂性能瓶颈、最大化运营效率。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此外，Kaytus 在 Interop Tokyo 2026 等国际展会上持续亮相，强化在日本、东南亚、欧洲市场的品牌曝光。这些动作表明，Kaytus 已从"Inspur 备份品牌"成长为独立、可识别的全球 IT 基础设施品牌，并开始与 Dell、HPE、Supermicro、联想等国际同行在欧美主流展会正面竞争。</w:t>
      </w:r>
    </w:p>
    <w:p>
      <w:pPr>
        <w:pStyle w:val="Heading3"/>
      </w:pPr>
      <w:r>
        <w:rPr>
          <w:rFonts w:ascii="Microsoft YaHei" w:hAnsi="Microsoft YaHei" w:eastAsia="Microsoft YaHei"/>
          <w:color w:val="333333"/>
          <w:sz w:val="23"/>
        </w:rPr>
        <w:t>（6）合规与法务风险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2024 年 4 月，HPE（Hewlett Power Enterprise）在美国对 Inspur Group 提起专利诉讼，指控其"通过更换品牌名称在美国市场销售相同产品以规避出口限制与专利"。诉状明确指出：Inspur 的 NF5280M5 服务器在美国以 Aivres 品牌（型号 KR2280-X1）销售，后续型号 KR2280-X2 与 KAYTUS 的 KR2280V2 实为同一产品；Inspur 的 IR5280M6 与 Aivres 的 5280M6 也仅存在 "IR" 前缀差异。这一诉讼揭示了 Inspur → Aivres / KAYTUS 多品牌运营的合规灰色性质，也提示公司：未来在欧美主流市场，品牌隔离策略需配合更精细的专利布局、差异化设计与法务准备，方能持续有效。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尽管存在诉讼与品牌透明度挑战，Kaytus 在 2025—2026 年并未被纳入美国实体清单（与 Aivres 同样），仍可正常承接欧美、东南亚、中东等地的服务器订单，为公司在 Inspur 母品牌被制裁背景下保留了关键的全球市场通道。</w:t>
      </w:r>
    </w:p>
    <w:p>
      <w:pPr>
        <w:pStyle w:val="Heading2"/>
      </w:pPr>
      <w:r>
        <w:rPr>
          <w:rFonts w:ascii="Microsoft YaHei" w:hAnsi="Microsoft YaHei" w:eastAsia="Microsoft YaHei"/>
          <w:color w:val="2C5F9E"/>
          <w:sz w:val="26"/>
        </w:rPr>
        <w:t>5.2 Aivres：北美本地化运营平台</w:t>
      </w:r>
    </w:p>
    <w:p>
      <w:pPr>
        <w:pStyle w:val="Heading3"/>
      </w:pPr>
      <w:r>
        <w:rPr>
          <w:rFonts w:ascii="Microsoft YaHei" w:hAnsi="Microsoft YaHei" w:eastAsia="Microsoft YaHei"/>
          <w:color w:val="333333"/>
          <w:sz w:val="23"/>
        </w:rPr>
        <w:t>（1）公司背景与定位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Aivres 是一家注册于美国加州圣何塞（San Jose, California, 总部地址 615 N King Rd,San Jose, CA 95133, US）的私营公司，员工规模 51—200 人，LinkedIn 全球关注者达 17,376 人，定位为数据中心服务器与存储解决方案提供商。公司宣称其"总部与制造均位于硅谷"（headquarters and manufacturing in Silicon Valley），业务覆盖云计算、AI、深度学习、大数据、海量存储与边缘等关键场景，是 Inspur 系产品在美国市场的核心本地化运营平台。从公开报道与法律诉讼资料判断，Aivres 与 Inspur 之间存在深度股权与产品关联：其产品 KR2280-X1、KR2280-X2、5280M6 等与 Inspur 的 NF5280M5、NF5280M6、IR5280M6在硬件设计层面高度同源。——总部位置：美国加州圣何塞（615 N King Rd, San Jose, CA 95133）；——员工规模：51—200 人；——品牌曝光：LinkedIn 关注者 17,376+，通过 Aivres.com、arccompute.io、ServeTheHome 等专业渠道触达北美客户；——服务市场：美国、加拿大、墨西哥为核心，辐射整个北美及美洲市场。</w:t>
      </w:r>
    </w:p>
    <w:p>
      <w:pPr>
        <w:pStyle w:val="Heading3"/>
      </w:pPr>
      <w:r>
        <w:rPr>
          <w:rFonts w:ascii="Microsoft YaHei" w:hAnsi="Microsoft YaHei" w:eastAsia="Microsoft YaHei"/>
          <w:color w:val="333333"/>
          <w:sz w:val="23"/>
        </w:rPr>
        <w:t>（2）核心客户：英伟达 GB200 出口印尼案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Aivres 在海外最具代表性的案例是 2024 年 10 月的"GB200 服务器出口印尼雅加达"事件。据《华尔街日报》深度调查：32 台搭载 2,304 块英伟达 Blackwell 芯片的 GB200 服务器从加州出发，经海运抵达印尼首都雅加达。物流单据显示买方为印尼电信巨头 Indosat，卖方为美国本土企业 Aivres，总价值约 1 亿美元。但实际接盘方为上海 AI 初创公司 INF Tech——其创始人齐源是复旦大学教授、麻省理工学院博士。合同敲定后，32 台服务器迅速部署至印尼机房。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这一案例体现了三层战略意义：第一，Aivres 作为美国本土注册企业，能够合法采购英伟达顶级 GPU，在出口管制框架下完成"美国原产"高端 AI 服务器的国际贸易；第二，物流层面"印尼 → 中国"的接盘路径，揭示了"美国出口 → 东南亚落地 → 中国使用"的灰色算力流转模式；第三，这种模式为 Inspur 在实体清单管制下，间接获得了本应被禁运的 AI 算力资源，成为供应链对冲的关键通道。需要客观指出的是，这一模式同样存在显著的合规风险：若被美方认定为"对受 EAR 管制物项的违规转移"，Aivres 与 Inspur 均可能面临BIS 进一步制裁或刑事处罚（参考 2026 年超微电脑走私案司法溯源案例）。</w:t>
      </w:r>
    </w:p>
    <w:p>
      <w:pPr>
        <w:pStyle w:val="Heading3"/>
      </w:pPr>
      <w:r>
        <w:rPr>
          <w:rFonts w:ascii="Microsoft YaHei" w:hAnsi="Microsoft YaHei" w:eastAsia="Microsoft YaHei"/>
          <w:color w:val="333333"/>
          <w:sz w:val="23"/>
        </w:rPr>
        <w:t>（3）工厂与制造网络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Aivres 公开宣称"headquarters and manufacturing in Silicon Valley"——即总部与制造均位于硅谷。其核心制造体系布局如下：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28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设施</w:t>
            </w:r>
          </w:p>
        </w:tc>
        <w:tc>
          <w:tcPr>
            <w:tcW w:type="dxa" w:w="2041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城市 / 街道</w:t>
            </w:r>
          </w:p>
        </w:tc>
        <w:tc>
          <w:tcPr>
            <w:tcW w:type="dxa" w:w="1247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类型</w:t>
            </w:r>
          </w:p>
        </w:tc>
        <w:tc>
          <w:tcPr>
            <w:tcW w:type="dxa" w:w="1814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面积 / 产能</w:t>
            </w:r>
          </w:p>
        </w:tc>
        <w:tc>
          <w:tcPr>
            <w:tcW w:type="dxa" w:w="2381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核心职能 / 出处</w:t>
            </w:r>
          </w:p>
        </w:tc>
      </w:tr>
      <w:tr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Aivres Systems Inc. 总部</w:t>
            </w:r>
          </w:p>
        </w:tc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San Jose, 615 N King Rd, CA 95133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总部 + 制造</w:t>
            </w:r>
          </w:p>
        </w:tc>
        <w:tc>
          <w:tcPr>
            <w:tcW w:type="dxa" w:w="181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</w:t>
            </w:r>
          </w:p>
        </w:tc>
        <w:tc>
          <w:tcPr>
            <w:tcW w:type="dxa" w:w="238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公司注册地；Aivres 官网 / BBB / aivres.com "About Us"</w:t>
            </w:r>
          </w:p>
        </w:tc>
      </w:tr>
      <w:tr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Inspur Systems Inc.（Aivres 关联方）</w:t>
            </w:r>
          </w:p>
        </w:tc>
        <w:tc>
          <w:tcPr>
            <w:tcW w:type="dxa" w:w="204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Fremont, 3347 Gateway Blvd, CA 94538</w:t>
            </w:r>
          </w:p>
        </w:tc>
        <w:tc>
          <w:tcPr>
            <w:tcW w:type="dxa" w:w="1247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制造 + 仓储</w:t>
            </w:r>
          </w:p>
        </w:tc>
        <w:tc>
          <w:tcPr>
            <w:tcW w:type="dxa" w:w="181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多年运营设施</w:t>
            </w:r>
          </w:p>
        </w:tc>
        <w:tc>
          <w:tcPr>
            <w:tcW w:type="dxa" w:w="238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历史制造与进口枢纽；BBB / Panjiva 提单记录显示自中国青岛港至长滩港</w:t>
            </w:r>
          </w:p>
        </w:tc>
      </w:tr>
      <w:tr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Aivres Fremont 新工厂</w:t>
            </w:r>
          </w:p>
        </w:tc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Fremont, 47550 Kato Rd, CA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新建 AI 服务器专用工厂</w:t>
            </w:r>
          </w:p>
        </w:tc>
        <w:tc>
          <w:tcPr>
            <w:tcW w:type="dxa" w:w="181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270,828 平方英尺（约 25,170 平方米）</w:t>
            </w:r>
          </w:p>
        </w:tc>
        <w:tc>
          <w:tcPr>
            <w:tcW w:type="dxa" w:w="238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2025 年 5 月 23 日签约，11 年长期租约；专攻 AI 基础设施 / HGX H200、Blackwell 产线；Colliers 与 Connect CRE 联合披露</w:t>
            </w:r>
          </w:p>
        </w:tc>
      </w:tr>
      <w:tr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Fremont AI 服务器产业集群</w:t>
            </w:r>
          </w:p>
        </w:tc>
        <w:tc>
          <w:tcPr>
            <w:tcW w:type="dxa" w:w="204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Fremont 多处</w:t>
            </w:r>
          </w:p>
        </w:tc>
        <w:tc>
          <w:tcPr>
            <w:tcW w:type="dxa" w:w="1247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区域协同</w:t>
            </w:r>
          </w:p>
        </w:tc>
        <w:tc>
          <w:tcPr>
            <w:tcW w:type="dxa" w:w="181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33 家 AI 服务器制造设施</w:t>
            </w:r>
          </w:p>
        </w:tc>
        <w:tc>
          <w:tcPr>
            <w:tcW w:type="dxa" w:w="238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Fremont 已成为北美 AI 服务器制造重镇，Aivres 与 MiTAC、Quanta 同区聚集</w:t>
            </w:r>
          </w:p>
        </w:tc>
      </w:tr>
    </w:tbl>
    <w:p/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工厂层面，Aivres 形成"硅谷双核 + Fremont 扩张"布局：——San Jose 总部：注册地址 615 N King Rd, San Jose, CA 95133，承担总部办公、研发、样机试制与北美销售职能；——Fremont 制造基地 1（Inspur Systems Inc.）：3347 Gateway Blvd, Fremont, CA 94538，与 Inspur Systems Inc. 共用同一地址（Panjiva 海关提单、BBB 记录均显示从中国青岛进口 8,252 kg 设备），为 Aivres 长期使用的制造与物流枢纽；——Fremont 新工厂（2025 年 5 月新签）：47550 Kato Rd, Fremont，270,828 平方英尺 11 年长期租约，由 Colliers（Ed Hofer、Casey Ricksen）独家代理；明确用于"扩大 AI 制造产能"——契合 KR6288 HGX H200 / KR5288V3 Blackwell Ultra 等新一代 8-GPU AI 服务器的本地化生产需求。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与同区竞争对手对比：Aivres 与 MiTAC（已租 Fremont Technology Center 470K 平方英尺）、Quanta Computer（Fremont 大型制造基地）共同构成 Fremont AI 服务器制造集群。据 Silicon Valley Business Journal 2026 年 1 月统计，Fremont 已聚集 33 家 AI 服务器制造设施，约三分之二在建或开发中。Aivres 在这一集群中处于头部位置，凭借"美国制造 + 中国设计 + NVIDIA/AMD 顶级 AI 加速器"三位一体模式，在北美市场对冲了 Inspur 母品牌被实体清单限制的影响。注：上述工厂数据来源于 Colliers、Connect CRE、Silicon Valley Business Journal、BBB 等权威来源；Aivres 官网未单独披露每个工厂的具体产能细节。</w:t>
      </w:r>
    </w:p>
    <w:p>
      <w:pPr>
        <w:pStyle w:val="Heading3"/>
      </w:pPr>
      <w:r>
        <w:rPr>
          <w:rFonts w:ascii="Microsoft YaHei" w:hAnsi="Microsoft YaHei" w:eastAsia="Microsoft YaHei"/>
          <w:color w:val="333333"/>
          <w:sz w:val="23"/>
        </w:rPr>
        <w:t>（4）产品矩阵：覆盖 NVIDIA HGX/Blackwell/AMD/Intel 全栈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根据 Aivres 官网产品库与最新发布，Aivres 已构建完整的 AI 服务器产品矩阵，覆盖从训练到推理、从通用到超大规模的全场景：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474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产品型号</w:t>
            </w:r>
          </w:p>
        </w:tc>
        <w:tc>
          <w:tcPr>
            <w:tcW w:type="dxa" w:w="1020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形态</w:t>
            </w:r>
          </w:p>
        </w:tc>
        <w:tc>
          <w:tcPr>
            <w:tcW w:type="dxa" w:w="1474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CPU 平台</w:t>
            </w:r>
          </w:p>
        </w:tc>
        <w:tc>
          <w:tcPr>
            <w:tcW w:type="dxa" w:w="2268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GPU 平台</w:t>
            </w:r>
          </w:p>
        </w:tc>
        <w:tc>
          <w:tcPr>
            <w:tcW w:type="dxa" w:w="2268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核心定位</w:t>
            </w:r>
          </w:p>
        </w:tc>
      </w:tr>
      <w:tr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KR1180-X3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1U 1-Socket</w:t>
            </w:r>
          </w:p>
        </w:tc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Intel Xeon 6</w:t>
            </w:r>
          </w:p>
        </w:tc>
        <w:tc>
          <w:tcPr>
            <w:tcW w:type="dxa" w:w="22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</w:t>
            </w:r>
          </w:p>
        </w:tc>
        <w:tc>
          <w:tcPr>
            <w:tcW w:type="dxa" w:w="22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通算（X3 新品）</w:t>
            </w:r>
          </w:p>
        </w:tc>
      </w:tr>
      <w:tr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KR1180-E3</w:t>
            </w:r>
          </w:p>
        </w:tc>
        <w:tc>
          <w:tcPr>
            <w:tcW w:type="dxa" w:w="1020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1U 1-Socket</w:t>
            </w:r>
          </w:p>
        </w:tc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AMD EPYC 9005（192 核）</w:t>
            </w:r>
          </w:p>
        </w:tc>
        <w:tc>
          <w:tcPr>
            <w:tcW w:type="dxa" w:w="226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</w:t>
            </w:r>
          </w:p>
        </w:tc>
        <w:tc>
          <w:tcPr>
            <w:tcW w:type="dxa" w:w="226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通算（E3 新品）</w:t>
            </w:r>
          </w:p>
        </w:tc>
      </w:tr>
      <w:tr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KR1280-X3 / E3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1U 2-Socket</w:t>
            </w:r>
          </w:p>
        </w:tc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Intel Xeon 6 / AMD EPYC 9005</w:t>
            </w:r>
          </w:p>
        </w:tc>
        <w:tc>
          <w:tcPr>
            <w:tcW w:type="dxa" w:w="22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</w:t>
            </w:r>
          </w:p>
        </w:tc>
        <w:tc>
          <w:tcPr>
            <w:tcW w:type="dxa" w:w="22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通算（X3/E3 新品）</w:t>
            </w:r>
          </w:p>
        </w:tc>
      </w:tr>
      <w:tr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KR2180-E3</w:t>
            </w:r>
          </w:p>
        </w:tc>
        <w:tc>
          <w:tcPr>
            <w:tcW w:type="dxa" w:w="1020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2U 1-Socket</w:t>
            </w:r>
          </w:p>
        </w:tc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AMD EPYC 9005</w:t>
            </w:r>
          </w:p>
        </w:tc>
        <w:tc>
          <w:tcPr>
            <w:tcW w:type="dxa" w:w="226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</w:t>
            </w:r>
          </w:p>
        </w:tc>
        <w:tc>
          <w:tcPr>
            <w:tcW w:type="dxa" w:w="226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通算</w:t>
            </w:r>
          </w:p>
        </w:tc>
      </w:tr>
      <w:tr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KR2280-X2 / E2 / Series（X3/E3）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2U 2-Socket</w:t>
            </w:r>
          </w:p>
        </w:tc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Intel Xeon 4/5/6 或 AMD EPYC 9004/9005</w:t>
            </w:r>
          </w:p>
        </w:tc>
        <w:tc>
          <w:tcPr>
            <w:tcW w:type="dxa" w:w="22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可配 4 DW 或 8 SW PCIe 5.0 GPU</w:t>
            </w:r>
          </w:p>
        </w:tc>
        <w:tc>
          <w:tcPr>
            <w:tcW w:type="dxa" w:w="22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通算 + GPU 双用</w:t>
            </w:r>
          </w:p>
        </w:tc>
      </w:tr>
      <w:tr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KR2460V2 / KR4480V3 / KR6880V2</w:t>
            </w:r>
          </w:p>
        </w:tc>
        <w:tc>
          <w:tcPr>
            <w:tcW w:type="dxa" w:w="1020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2U/4U/6U 4-8 Socket</w:t>
            </w:r>
          </w:p>
        </w:tc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4th Gen Intel Xeon / Intel Xeon 6</w:t>
            </w:r>
          </w:p>
        </w:tc>
        <w:tc>
          <w:tcPr>
            <w:tcW w:type="dxa" w:w="226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Up to 8 PCIe GPU</w:t>
            </w:r>
          </w:p>
        </w:tc>
        <w:tc>
          <w:tcPr>
            <w:tcW w:type="dxa" w:w="226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高密度计算</w:t>
            </w:r>
          </w:p>
        </w:tc>
      </w:tr>
      <w:tr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KR4266V2 / V3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4U 2-Socket</w:t>
            </w:r>
          </w:p>
        </w:tc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Intel Xeon 4/5/6</w:t>
            </w:r>
          </w:p>
        </w:tc>
        <w:tc>
          <w:tcPr>
            <w:tcW w:type="dxa" w:w="22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10× PCIe 5.0</w:t>
            </w:r>
          </w:p>
        </w:tc>
        <w:tc>
          <w:tcPr>
            <w:tcW w:type="dxa" w:w="22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存储优化</w:t>
            </w:r>
          </w:p>
        </w:tc>
      </w:tr>
      <w:tr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K24-2S / K22-E3 / K22-X2 / K22-E2</w:t>
            </w:r>
          </w:p>
        </w:tc>
        <w:tc>
          <w:tcPr>
            <w:tcW w:type="dxa" w:w="1020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2U 多节点</w:t>
            </w:r>
          </w:p>
        </w:tc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Intel/AMD</w:t>
            </w:r>
          </w:p>
        </w:tc>
        <w:tc>
          <w:tcPr>
            <w:tcW w:type="dxa" w:w="226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部分型号 2 GPU</w:t>
            </w:r>
          </w:p>
        </w:tc>
        <w:tc>
          <w:tcPr>
            <w:tcW w:type="dxa" w:w="226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多节点</w:t>
            </w:r>
          </w:p>
        </w:tc>
      </w:tr>
      <w:tr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KR4268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4U 8-GPU</w:t>
            </w:r>
          </w:p>
        </w:tc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Intel Xeon 或 AMD EPYC</w:t>
            </w:r>
          </w:p>
        </w:tc>
        <w:tc>
          <w:tcPr>
            <w:tcW w:type="dxa" w:w="22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8× NVIDIA L40S / H100 等 PCIe 5.0</w:t>
            </w:r>
          </w:p>
        </w:tc>
        <w:tc>
          <w:tcPr>
            <w:tcW w:type="dxa" w:w="22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PCIe 推理 / 训练</w:t>
            </w:r>
          </w:p>
        </w:tc>
      </w:tr>
      <w:tr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KR6268</w:t>
            </w:r>
          </w:p>
        </w:tc>
        <w:tc>
          <w:tcPr>
            <w:tcW w:type="dxa" w:w="1020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6U 8-GPU</w:t>
            </w:r>
          </w:p>
        </w:tc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Intel Xeon 6</w:t>
            </w:r>
          </w:p>
        </w:tc>
        <w:tc>
          <w:tcPr>
            <w:tcW w:type="dxa" w:w="226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8× NVIDIA RTX PRO 6000 Blackwell / H200 NVL PCIe</w:t>
            </w:r>
          </w:p>
        </w:tc>
        <w:tc>
          <w:tcPr>
            <w:tcW w:type="dxa" w:w="226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PCIe 推理</w:t>
            </w:r>
          </w:p>
        </w:tc>
      </w:tr>
      <w:tr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KR6278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6U</w:t>
            </w:r>
          </w:p>
        </w:tc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Intel Xeon</w:t>
            </w:r>
          </w:p>
        </w:tc>
        <w:tc>
          <w:tcPr>
            <w:tcW w:type="dxa" w:w="22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8× RTX PRO 4500 / 6000 Blackwell Server Edition</w:t>
            </w:r>
          </w:p>
        </w:tc>
        <w:tc>
          <w:tcPr>
            <w:tcW w:type="dxa" w:w="22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PCIe 推理</w:t>
            </w:r>
          </w:p>
        </w:tc>
      </w:tr>
      <w:tr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KR6288</w:t>
            </w:r>
          </w:p>
        </w:tc>
        <w:tc>
          <w:tcPr>
            <w:tcW w:type="dxa" w:w="1020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6U 8-GPU</w:t>
            </w:r>
          </w:p>
        </w:tc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Intel Xeon 或 AMD EPYC 9004/9005</w:t>
            </w:r>
          </w:p>
        </w:tc>
        <w:tc>
          <w:tcPr>
            <w:tcW w:type="dxa" w:w="226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NVIDIA HGX H200 8-GPU</w:t>
            </w:r>
          </w:p>
        </w:tc>
        <w:tc>
          <w:tcPr>
            <w:tcW w:type="dxa" w:w="226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Hopper HGX 训练</w:t>
            </w:r>
          </w:p>
        </w:tc>
      </w:tr>
      <w:tr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KR6298-E2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8-OAM</w:t>
            </w:r>
          </w:p>
        </w:tc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AMD EPYC 9004</w:t>
            </w:r>
          </w:p>
        </w:tc>
        <w:tc>
          <w:tcPr>
            <w:tcW w:type="dxa" w:w="22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8× AMD Instinct MI300X</w:t>
            </w:r>
          </w:p>
        </w:tc>
        <w:tc>
          <w:tcPr>
            <w:tcW w:type="dxa" w:w="22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AMD 全栈备份</w:t>
            </w:r>
          </w:p>
        </w:tc>
      </w:tr>
      <w:tr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KR6298-X2</w:t>
            </w:r>
          </w:p>
        </w:tc>
        <w:tc>
          <w:tcPr>
            <w:tcW w:type="dxa" w:w="1020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8-OAM</w:t>
            </w:r>
          </w:p>
        </w:tc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Intel Xeon Scalable 4/5 Gen</w:t>
            </w:r>
          </w:p>
        </w:tc>
        <w:tc>
          <w:tcPr>
            <w:tcW w:type="dxa" w:w="226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8× Intel Habana Gaudi 2</w:t>
            </w:r>
          </w:p>
        </w:tc>
        <w:tc>
          <w:tcPr>
            <w:tcW w:type="dxa" w:w="226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Intel 全栈备份</w:t>
            </w:r>
          </w:p>
        </w:tc>
      </w:tr>
      <w:tr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KR5288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5U 8-GPU（液冷）</w:t>
            </w:r>
          </w:p>
        </w:tc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AMD EPYC 9005</w:t>
            </w:r>
          </w:p>
        </w:tc>
        <w:tc>
          <w:tcPr>
            <w:tcW w:type="dxa" w:w="22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NVIDIA HGX B200 / B300 8-GPU</w:t>
            </w:r>
          </w:p>
        </w:tc>
        <w:tc>
          <w:tcPr>
            <w:tcW w:type="dxa" w:w="22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Blackwell / Ultra 时代</w:t>
            </w:r>
          </w:p>
        </w:tc>
      </w:tr>
      <w:tr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KR5288 Rubin</w:t>
            </w:r>
          </w:p>
        </w:tc>
        <w:tc>
          <w:tcPr>
            <w:tcW w:type="dxa" w:w="1020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5U（混合散热）</w:t>
            </w:r>
          </w:p>
        </w:tc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AMD EPYC 9005</w:t>
            </w:r>
          </w:p>
        </w:tc>
        <w:tc>
          <w:tcPr>
            <w:tcW w:type="dxa" w:w="226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NVIDIA HGX Rubin 8-GPU</w:t>
            </w:r>
          </w:p>
        </w:tc>
        <w:tc>
          <w:tcPr>
            <w:tcW w:type="dxa" w:w="226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下一代 Vera Rubin</w:t>
            </w:r>
          </w:p>
        </w:tc>
      </w:tr>
      <w:tr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KR9288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10U 8-GPU</w:t>
            </w:r>
          </w:p>
        </w:tc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Intel Xeon 6 或 AMD EPYC 9005；可配 Intel Gaudi OAM</w:t>
            </w:r>
          </w:p>
        </w:tc>
        <w:tc>
          <w:tcPr>
            <w:tcW w:type="dxa" w:w="22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NVIDIA HGX B200 / B300 8-GPU</w:t>
            </w:r>
          </w:p>
        </w:tc>
        <w:tc>
          <w:tcPr>
            <w:tcW w:type="dxa" w:w="22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大模型训练与多模态推理</w:t>
            </w:r>
          </w:p>
        </w:tc>
      </w:tr>
      <w:tr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KR2288</w:t>
            </w:r>
          </w:p>
        </w:tc>
        <w:tc>
          <w:tcPr>
            <w:tcW w:type="dxa" w:w="1020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2U 液冷</w:t>
            </w:r>
          </w:p>
        </w:tc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</w:t>
            </w:r>
          </w:p>
        </w:tc>
        <w:tc>
          <w:tcPr>
            <w:tcW w:type="dxa" w:w="226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NVIDIA HGX Rubin 8-GPU</w:t>
            </w:r>
          </w:p>
        </w:tc>
        <w:tc>
          <w:tcPr>
            <w:tcW w:type="dxa" w:w="226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2U 形态 Rubin</w:t>
            </w:r>
          </w:p>
        </w:tc>
      </w:tr>
      <w:tr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KRS8000V3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机柜级 NVL72（液冷）</w:t>
            </w:r>
          </w:p>
        </w:tc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Grace CPU ×36</w:t>
            </w:r>
          </w:p>
        </w:tc>
        <w:tc>
          <w:tcPr>
            <w:tcW w:type="dxa" w:w="22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NVIDIA GB200 ×72</w:t>
            </w:r>
          </w:p>
        </w:tc>
        <w:tc>
          <w:tcPr>
            <w:tcW w:type="dxa" w:w="22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Blackwell NVL72 平台</w:t>
            </w:r>
          </w:p>
        </w:tc>
      </w:tr>
      <w:tr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KRS8500V3</w:t>
            </w:r>
          </w:p>
        </w:tc>
        <w:tc>
          <w:tcPr>
            <w:tcW w:type="dxa" w:w="1020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机柜级 NVL72（液冷）</w:t>
            </w:r>
          </w:p>
        </w:tc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Grace CPU ×36</w:t>
            </w:r>
          </w:p>
        </w:tc>
        <w:tc>
          <w:tcPr>
            <w:tcW w:type="dxa" w:w="226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NVIDIA GB300 Blackwell Ultra ×72</w:t>
            </w:r>
          </w:p>
        </w:tc>
        <w:tc>
          <w:tcPr>
            <w:tcW w:type="dxa" w:w="226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Blackwell Ultra NVL72</w:t>
            </w:r>
          </w:p>
        </w:tc>
      </w:tr>
      <w:tr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KRS8000V4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机柜级 NVL72（液冷）</w:t>
            </w:r>
          </w:p>
        </w:tc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Vera CPU ×36</w:t>
            </w:r>
          </w:p>
        </w:tc>
        <w:tc>
          <w:tcPr>
            <w:tcW w:type="dxa" w:w="22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NVIDIA Vera Rubin ×72</w:t>
            </w:r>
          </w:p>
        </w:tc>
        <w:tc>
          <w:tcPr>
            <w:tcW w:type="dxa" w:w="22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Vera Rubin NVL72（下一代）</w:t>
            </w:r>
          </w:p>
        </w:tc>
      </w:tr>
    </w:tbl>
    <w:p/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从产品矩阵可见，Aivres 的 GPU 战略呈现"英伟达全栈 + AMD 全栈备份 + Intel 补充"三层结构：——英伟达主线：覆盖 HGX H200 / HGX B200 / HGX B300（Blackwell Ultra）/HGX Rubin（Vera Rubin）/GB200 / GB300 / Vera Rubin NVL72 等全代际产品，是 Aivres 收入与品牌的主力；——AMD 备份：KR6298-E2（AMD EPYC 9004 + 8× Instinct MI300X）与 AMD Venice 系列（EPYC 第 6 代 + MI350P PCIe），对冲英伟达体系断供风险；——Intel 补充：KR6298-X2（Intel Xeon + 8× Gaudi 2）、KR9288（可配 Intel Gaudi OAM）与通算侧的 Intel Xeon 6 全节点，覆盖对 Intel 生态更敏感的政企客户。产品组合对标 Dell PowerEdge、Supermicro、HPE ProLiant 等国际主流品牌，可直接进入北美主流超大规模云厂商、AI 实验室、HPC 机构与企业数据中心的采购清单。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在上游合作方面：Aivres 是 NVIDIA 的"NVIDIA AI 加速解决方案"核心 OEM 合作伙伴之一，全线 AI 服务器支持 NVIDIA GPU、HGX 平台与 NVLink/NVSwitch 互联；同时是 AMD Instinct MI350 系列在 OEM 阵营的核心合作伙伴，在 2026 年 AMD Advancing AI 大会上首发 AMD EPYC Venice + MI350P PCIe 平台。借助其"美国本土企业"身份，Aivres 在英伟达 GPU 采购、销售、税务、合规审查等环节均较 Inspur 母品牌更具优势。</w:t>
      </w:r>
    </w:p>
    <w:p>
      <w:pPr>
        <w:pStyle w:val="Heading3"/>
      </w:pPr>
      <w:r>
        <w:rPr>
          <w:rFonts w:ascii="Microsoft YaHei" w:hAnsi="Microsoft YaHei" w:eastAsia="Microsoft YaHei"/>
          <w:color w:val="333333"/>
          <w:sz w:val="23"/>
        </w:rPr>
        <w:t>（5）核心客户与成功案例（基于 aivres.com/case_studies 抓取）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基于 aivres.com/case_studies 页面 5 个公开成功案例、新闻稿与合作伙伴披露，可识别的 Aivres 代表性海外客户与成功案例如下。部分案例的客户名称已脱敏处理（标注为 "a leading XXX"），以下行业、国家与产品型号均来自案例页正文。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361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案例</w:t>
            </w:r>
          </w:p>
        </w:tc>
        <w:tc>
          <w:tcPr>
            <w:tcW w:type="dxa" w:w="1928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客户 / 国家 / 行业</w:t>
            </w:r>
          </w:p>
        </w:tc>
        <w:tc>
          <w:tcPr>
            <w:tcW w:type="dxa" w:w="2154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Aivres 解决方案</w:t>
            </w:r>
          </w:p>
        </w:tc>
        <w:tc>
          <w:tcPr>
            <w:tcW w:type="dxa" w:w="1928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产品 / 平台</w:t>
            </w:r>
          </w:p>
        </w:tc>
        <w:tc>
          <w:tcPr>
            <w:tcW w:type="dxa" w:w="2608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关键成果（量化指标）</w:t>
            </w:r>
          </w:p>
        </w:tc>
      </w:tr>
      <w:tr>
        <w:tc>
          <w:tcPr>
            <w:tcW w:type="dxa" w:w="136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Indosat GB200 出口印尼</w:t>
            </w:r>
          </w:p>
        </w:tc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Indosat（印尼电信巨头）/ 印度尼西亚 / 电信</w:t>
            </w:r>
          </w:p>
        </w:tc>
        <w:tc>
          <w:tcPr>
            <w:tcW w:type="dxa" w:w="215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32 台搭载 2,304 块英伟达 Blackwell 芯片的 GB200 服务器从加州海运雅加达（实际接盘方：上海 INF Tech）</w:t>
            </w:r>
          </w:p>
        </w:tc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GB200 HGX 系统（金额约 1 亿美元）</w:t>
            </w:r>
          </w:p>
        </w:tc>
        <w:tc>
          <w:tcPr>
            <w:tcW w:type="dxa" w:w="260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单笔金额约 1 亿美元；32 台 GB200 / 2,304 块 Blackwell 芯片；《华尔街日报》深度调查披露的"Aivres 美国出口 → 东南亚落地 → 中国使用"灰色路径</w:t>
            </w:r>
          </w:p>
        </w:tc>
      </w:tr>
      <w:tr>
        <w:tc>
          <w:tcPr>
            <w:tcW w:type="dxa" w:w="136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Kakao AI Lab</w:t>
            </w:r>
          </w:p>
        </w:tc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Kakao（韩国最大互联网公司之一）/ 韩国 / 互联网云服务</w:t>
            </w:r>
          </w:p>
        </w:tc>
        <w:tc>
          <w:tcPr>
            <w:tcW w:type="dxa" w:w="215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产品组合方案：以高密度 KR4268 推理服务器为核心，辅以 KR1280 + KR2280 通用服务器</w:t>
            </w:r>
          </w:p>
        </w:tc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KR4268（40 卡 NVLink，单机 4 PCIe-switch 负载均衡）+ KR1280（数据分层）+ KR2280（4 TA GPU 卡）</w:t>
            </w:r>
          </w:p>
        </w:tc>
        <w:tc>
          <w:tcPr>
            <w:tcW w:type="dxa" w:w="260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从下单到部署仅 25 天；集群性能 +30%；支撑 Kakao Mini C 语音助手、Hadoop 数据运营与多模态 AI 计算</w:t>
            </w:r>
          </w:p>
        </w:tc>
      </w:tr>
      <w:tr>
        <w:tc>
          <w:tcPr>
            <w:tcW w:type="dxa" w:w="136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Upstage（韩国 AI 独角兽）</w:t>
            </w:r>
          </w:p>
        </w:tc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Upstage（韩国 AI 解决方案商，OCR Pack 出海）/ 韩国 / AI 软件</w:t>
            </w:r>
          </w:p>
        </w:tc>
        <w:tc>
          <w:tcPr>
            <w:tcW w:type="dxa" w:w="215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高密度 AI 训练集群 + 200 Gb/s InfiniBand 互联 + ISPIM 统一管理</w:t>
            </w:r>
          </w:p>
        </w:tc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KR4288（AMD EPYC 7002 PCIe 4.0 + NVIDIA A100 NVLINK）</w:t>
            </w:r>
          </w:p>
        </w:tc>
        <w:tc>
          <w:tcPr>
            <w:tcW w:type="dxa" w:w="260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单机 5 PFLOPS、集群可达 50 PFLOPS；OCR Pack 较客户自建 OCR 系统 -80% 成本；TCO 显著优化</w:t>
            </w:r>
          </w:p>
        </w:tc>
      </w:tr>
      <w:tr>
        <w:tc>
          <w:tcPr>
            <w:tcW w:type="dxa" w:w="136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德国精英大学（AI / HPC）</w:t>
            </w:r>
          </w:p>
        </w:tc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德国某精英大学（QS 全球 Top，多位诺奖得主）/ 德国 / 高教科研</w:t>
            </w:r>
          </w:p>
        </w:tc>
        <w:tc>
          <w:tcPr>
            <w:tcW w:type="dxa" w:w="215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将 MD 节点从 4×A100 NVLink 升级至 8×A100 MIG；ML 节点从 RTX3090 升级至 A40</w:t>
            </w:r>
          </w:p>
        </w:tc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KR4288（8× SXM4 A100 40GB + NVSwitch + AMD Rome）/ KR4268（8× A100 NVLink）</w:t>
            </w:r>
          </w:p>
        </w:tc>
        <w:tc>
          <w:tcPr>
            <w:tcW w:type="dxa" w:w="260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浮点性能超出原预期 +115%；HPL 80 TFLOPS → Aivres 优化 91 TFLOPS（+15%）；支持 Tensorflow/PyTorch/QuantumEspresso/VASP/NAMD/GROMACS 等</w:t>
            </w:r>
          </w:p>
        </w:tc>
      </w:tr>
      <w:tr>
        <w:tc>
          <w:tcPr>
            <w:tcW w:type="dxa" w:w="136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德国精英大学（液冷 HPC）</w:t>
            </w:r>
          </w:p>
        </w:tc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德国某精英大学（其 IT 中心为国家 NHR 超算中心之一）/ 德国 / 高教科研</w:t>
            </w:r>
          </w:p>
        </w:tc>
        <w:tc>
          <w:tcPr>
            <w:tcW w:type="dxa" w:w="215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液冷高密度多节点 + 温水冷板 + 漏液自动断电</w:t>
            </w:r>
          </w:p>
        </w:tc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K24 液冷多节点（约 700 计算节点 / 30,000+ 核 / 5,000 TFLOPS）</w:t>
            </w:r>
          </w:p>
        </w:tc>
        <w:tc>
          <w:tcPr>
            <w:tcW w:type="dxa" w:w="260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冷却效率 +80%；数据中心冷却成本 -30%~40%；PUE &lt; 1.1；运维 -30%</w:t>
            </w:r>
          </w:p>
        </w:tc>
      </w:tr>
      <w:tr>
        <w:tc>
          <w:tcPr>
            <w:tcW w:type="dxa" w:w="136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欧洲科研院所（生命科学）</w:t>
            </w:r>
          </w:p>
        </w:tc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德国某知名科研院所 / 德国 / 生命科学</w:t>
            </w:r>
          </w:p>
        </w:tc>
        <w:tc>
          <w:tcPr>
            <w:tcW w:type="dxa" w:w="215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KR4288 GPU 加速 AI 服务器 + NUMA/PCIe 4.0 拓扑优化 + Lasso / 随机森林 / KNN / NLP 自优化</w:t>
            </w:r>
          </w:p>
        </w:tc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KR4288（4U GPU 加速服务器）</w:t>
            </w:r>
          </w:p>
        </w:tc>
        <w:tc>
          <w:tcPr>
            <w:tcW w:type="dxa" w:w="260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数据处理与图像分析时间 -30%+；支持蛋白质谱分析与基因图谱分析</w:t>
            </w:r>
          </w:p>
        </w:tc>
      </w:tr>
      <w:tr>
        <w:tc>
          <w:tcPr>
            <w:tcW w:type="dxa" w:w="136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Aivres × Cisco（中美互联网论坛）</w:t>
            </w:r>
          </w:p>
        </w:tc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Cisco / 美国 / 网络</w:t>
            </w:r>
          </w:p>
        </w:tc>
        <w:tc>
          <w:tcPr>
            <w:tcW w:type="dxa" w:w="215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Inspur 与 Cisco 在第八届中美互联网论坛签署战略合作协议</w:t>
            </w:r>
          </w:p>
        </w:tc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—（新闻稿，未指定具体 SKU）</w:t>
            </w:r>
          </w:p>
        </w:tc>
        <w:tc>
          <w:tcPr>
            <w:tcW w:type="dxa" w:w="260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—（提供战略合作框架，无量化指标）</w:t>
            </w:r>
          </w:p>
        </w:tc>
      </w:tr>
    </w:tbl>
    <w:p/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【区域与行业洞察】从 7 个核心案例（含新闻稿 Indosat GB200）来看，Aivres 客户覆盖三大集群：①北美：通过 GB200 出口印尼案、与 Cisco 战略合作，与美国超大规模云厂商、科研机构对接；②韩国：连续拿下 Kakao（互联网云服务）、Upstage（AI 软件）两大头部客户，KR4268 / KR4288 成为韩国 AI 基础设施的事实标准之一；③德国科研：两次进入德国精英大学 / 国家超算中心，液冷 K24 平台在 HPC 市场获得 -30% 冷却成本与 PUE &lt; 1.1 的标杆成绩。核心产品集中度：KR4268 + KR4288 + KR2280 + KR1280 + K24 五款机型覆盖 80% 以上案例，与 Kaytus KR2280V2、K24V2 形成 "Inspur 同源 → Aivres / Kaytus 双品牌出口" 的协同模式。</w:t>
      </w:r>
    </w:p>
    <w:p>
      <w:pPr>
        <w:pStyle w:val="Heading3"/>
      </w:pPr>
      <w:r>
        <w:rPr>
          <w:rFonts w:ascii="Microsoft YaHei" w:hAnsi="Microsoft YaHei" w:eastAsia="Microsoft YaHei"/>
          <w:color w:val="333333"/>
          <w:sz w:val="23"/>
        </w:rPr>
        <w:t>（6）合规风险与法律挑战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Aivres 作为 Inspur 的"美国分身"，同样存在三类核心风险：——专利与商业秘密风险：HPE 在 2024 年起诉书中明确指控 Aivres 与 Inspur、Kaytus 通过品牌变更销售相同产品，涉嫌"欺骗性商业行为"。一旦法院认定 Aivres 实质为 Inspur 的美国子公司，可能面临禁令、产品召回与高额赔偿；——出口管制二次风险：若 BIS 通过"反转移策略指导意见"将 Aivres 认定为"用于规避对华管制的中间实体"，可能将 Aivres 也纳入实体清单；——司法调查风险：参考 2026 年 3 月超微电脑走私案，美国司法部对"涉中国客户的灰色转运"持零容忍态度，Aivres 的英伟达 GB200 出口印尼案等案例存在被进一步追查的可能。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【Aivres 案例 / 新闻稿出处一览（基于 aivres.com 2026/08 抓取）】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1134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类型</w:t>
            </w:r>
          </w:p>
        </w:tc>
        <w:tc>
          <w:tcPr>
            <w:tcW w:type="dxa" w:w="4195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内容 / 客户 / 主题</w:t>
            </w:r>
          </w:p>
        </w:tc>
        <w:tc>
          <w:tcPr>
            <w:tcW w:type="dxa" w:w="3969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URL 出处</w:t>
            </w:r>
          </w:p>
        </w:tc>
      </w:tr>
      <w:tr>
        <w:tc>
          <w:tcPr>
            <w:tcW w:type="dxa" w:w="113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成功案例</w:t>
            </w:r>
          </w:p>
        </w:tc>
        <w:tc>
          <w:tcPr>
            <w:tcW w:type="dxa" w:w="4195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German University（HPC / 液冷，K24 多节点 700 节点 / 5,000 TFLOPS）</w:t>
            </w:r>
          </w:p>
        </w:tc>
        <w:tc>
          <w:tcPr>
            <w:tcW w:type="dxa" w:w="3969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aivres.com/case_studies/case-study-german-university-liquid-cooling/</w:t>
            </w:r>
          </w:p>
        </w:tc>
      </w:tr>
      <w:tr>
        <w:tc>
          <w:tcPr>
            <w:tcW w:type="dxa" w:w="113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成功案例</w:t>
            </w:r>
          </w:p>
        </w:tc>
        <w:tc>
          <w:tcPr>
            <w:tcW w:type="dxa" w:w="4195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Upstage（韩国 AI 独角兽，KR4288 + A100 NVLINK，单机 5 PFLOPS）</w:t>
            </w:r>
          </w:p>
        </w:tc>
        <w:tc>
          <w:tcPr>
            <w:tcW w:type="dxa" w:w="3969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aivres.com/case_studies/upstage/</w:t>
            </w:r>
          </w:p>
        </w:tc>
      </w:tr>
      <w:tr>
        <w:tc>
          <w:tcPr>
            <w:tcW w:type="dxa" w:w="113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成功案例</w:t>
            </w:r>
          </w:p>
        </w:tc>
        <w:tc>
          <w:tcPr>
            <w:tcW w:type="dxa" w:w="4195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Kakao（韩国头部互联网，KR4268 + KR1280 + KR2280，25 天部署）</w:t>
            </w:r>
          </w:p>
        </w:tc>
        <w:tc>
          <w:tcPr>
            <w:tcW w:type="dxa" w:w="3969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aivres.com/case_studies/kakao/</w:t>
            </w:r>
          </w:p>
        </w:tc>
      </w:tr>
      <w:tr>
        <w:tc>
          <w:tcPr>
            <w:tcW w:type="dxa" w:w="113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成功案例</w:t>
            </w:r>
          </w:p>
        </w:tc>
        <w:tc>
          <w:tcPr>
            <w:tcW w:type="dxa" w:w="4195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German University（AI / HPC，KR4288 + KR4268，A100 MIG 升级）</w:t>
            </w:r>
          </w:p>
        </w:tc>
        <w:tc>
          <w:tcPr>
            <w:tcW w:type="dxa" w:w="3969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aivres.com/case_studies/case-study-german-university/</w:t>
            </w:r>
          </w:p>
        </w:tc>
      </w:tr>
      <w:tr>
        <w:tc>
          <w:tcPr>
            <w:tcW w:type="dxa" w:w="113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成功案例</w:t>
            </w:r>
          </w:p>
        </w:tc>
        <w:tc>
          <w:tcPr>
            <w:tcW w:type="dxa" w:w="4195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European Research Institute（生命科学，KR4288 GPU 加速）</w:t>
            </w:r>
          </w:p>
        </w:tc>
        <w:tc>
          <w:tcPr>
            <w:tcW w:type="dxa" w:w="3969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aivres.com/case_studies/european-research-institute/</w:t>
            </w:r>
          </w:p>
        </w:tc>
      </w:tr>
      <w:tr>
        <w:tc>
          <w:tcPr>
            <w:tcW w:type="dxa" w:w="113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新闻稿</w:t>
            </w:r>
          </w:p>
        </w:tc>
        <w:tc>
          <w:tcPr>
            <w:tcW w:type="dxa" w:w="4195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Aivres × NVIDIA RTX PRO 6000 Blackwell Server Edition（KR6268）</w:t>
            </w:r>
          </w:p>
        </w:tc>
        <w:tc>
          <w:tcPr>
            <w:tcW w:type="dxa" w:w="3969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aivres.com/newsroom/aivres-announces-support-for-nvidia-rtx-pro-6000-blackwell-server-edition/</w:t>
            </w:r>
          </w:p>
        </w:tc>
      </w:tr>
      <w:tr>
        <w:tc>
          <w:tcPr>
            <w:tcW w:type="dxa" w:w="113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新闻稿</w:t>
            </w:r>
          </w:p>
        </w:tc>
        <w:tc>
          <w:tcPr>
            <w:tcW w:type="dxa" w:w="4195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Aivres 支持 NVIDIA Blackwell 全架构（GB200 + B200 + Spectrum-X800 / Quantum-X800）</w:t>
            </w:r>
          </w:p>
        </w:tc>
        <w:tc>
          <w:tcPr>
            <w:tcW w:type="dxa" w:w="3969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aivres.com/newsroom/aivres-ai-servers-new-nvidia-blackwell-architecture/</w:t>
            </w:r>
          </w:p>
        </w:tc>
      </w:tr>
      <w:tr>
        <w:tc>
          <w:tcPr>
            <w:tcW w:type="dxa" w:w="113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新闻稿</w:t>
            </w:r>
          </w:p>
        </w:tc>
        <w:tc>
          <w:tcPr>
            <w:tcW w:type="dxa" w:w="4195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Aivres NVIDIA Blackwell Ultra 全平台整合</w:t>
            </w:r>
          </w:p>
        </w:tc>
        <w:tc>
          <w:tcPr>
            <w:tcW w:type="dxa" w:w="3969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aivres.com/newsroom/aivres-ai-platforms-integrate-nvidia-blackwell-ultra/</w:t>
            </w:r>
          </w:p>
        </w:tc>
      </w:tr>
      <w:tr>
        <w:tc>
          <w:tcPr>
            <w:tcW w:type="dxa" w:w="113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新闻稿</w:t>
            </w:r>
          </w:p>
        </w:tc>
        <w:tc>
          <w:tcPr>
            <w:tcW w:type="dxa" w:w="4195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Aivres × AMD Instinct MI350 系列 GPU（KR5288 + AMD EPYC 9005）</w:t>
            </w:r>
          </w:p>
        </w:tc>
        <w:tc>
          <w:tcPr>
            <w:tcW w:type="dxa" w:w="3969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aivres.com/newsroom/aivres-drives-ai-innovation-with-amd-instinct-mi350-series-gpus/</w:t>
            </w:r>
          </w:p>
        </w:tc>
      </w:tr>
      <w:tr>
        <w:tc>
          <w:tcPr>
            <w:tcW w:type="dxa" w:w="113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新闻稿</w:t>
            </w:r>
          </w:p>
        </w:tc>
        <w:tc>
          <w:tcPr>
            <w:tcW w:type="dxa" w:w="4195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Aivres × AMD 第 6 代 EPYC + Instinct MI350P PCIe（KR5288 Venice）</w:t>
            </w:r>
          </w:p>
        </w:tc>
        <w:tc>
          <w:tcPr>
            <w:tcW w:type="dxa" w:w="3969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aivres.com/newsroom/aivres-announces-6th-gen-amd-epyc-general-purpose-server-amd-instinct-mi350p-pcie-ai-server-for-generative-and-enterprise-ai/</w:t>
            </w:r>
          </w:p>
        </w:tc>
      </w:tr>
      <w:tr>
        <w:tc>
          <w:tcPr>
            <w:tcW w:type="dxa" w:w="113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新闻稿</w:t>
            </w:r>
          </w:p>
        </w:tc>
        <w:tc>
          <w:tcPr>
            <w:tcW w:type="dxa" w:w="4195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Inspur × Cisco 战略合作协议（第八届中美互联网论坛）</w:t>
            </w:r>
          </w:p>
        </w:tc>
        <w:tc>
          <w:tcPr>
            <w:tcW w:type="dxa" w:w="3969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aivres.com/newsroom/strategic-cooperation-agreement-between-inspur-and-cisco-has-been-signed-during-the-8th-sino-us-internet-forum/</w:t>
            </w:r>
          </w:p>
        </w:tc>
      </w:tr>
      <w:tr>
        <w:tc>
          <w:tcPr>
            <w:tcW w:type="dxa" w:w="113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展会</w:t>
            </w:r>
          </w:p>
        </w:tc>
        <w:tc>
          <w:tcPr>
            <w:tcW w:type="dxa" w:w="4195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NVIDIA GTC 2025（Diamond Sponsor / Booth 522）</w:t>
            </w:r>
          </w:p>
        </w:tc>
        <w:tc>
          <w:tcPr>
            <w:tcW w:type="dxa" w:w="3969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aivres.com/newsroom/aivres-gtc25-comprehensive-ai-infrastructure-transformation-at-every-scale/</w:t>
            </w:r>
          </w:p>
        </w:tc>
      </w:tr>
      <w:tr>
        <w:tc>
          <w:tcPr>
            <w:tcW w:type="dxa" w:w="113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展会</w:t>
            </w:r>
          </w:p>
        </w:tc>
        <w:tc>
          <w:tcPr>
            <w:tcW w:type="dxa" w:w="4195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OCP Global Summit 2025（"Total Infrastructure Solutions to Power the AI Era"）</w:t>
            </w:r>
          </w:p>
        </w:tc>
        <w:tc>
          <w:tcPr>
            <w:tcW w:type="dxa" w:w="3969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aivres.com/newsroom/aivres-ocp-global-summit-2025-total-infrastructure-solutions-to-power-the-ai-era/</w:t>
            </w:r>
          </w:p>
        </w:tc>
      </w:tr>
      <w:tr>
        <w:tc>
          <w:tcPr>
            <w:tcW w:type="dxa" w:w="113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展会</w:t>
            </w:r>
          </w:p>
        </w:tc>
        <w:tc>
          <w:tcPr>
            <w:tcW w:type="dxa" w:w="4195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GTC 2026（Solutions for AI Factories at Intelligence Scale）</w:t>
            </w:r>
          </w:p>
        </w:tc>
        <w:tc>
          <w:tcPr>
            <w:tcW w:type="dxa" w:w="3969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aivres.com/newsroom/gtc-2026-solutions-for-ai-factories-intelligence-at-scale</w:t>
            </w:r>
          </w:p>
        </w:tc>
      </w:tr>
      <w:tr>
        <w:tc>
          <w:tcPr>
            <w:tcW w:type="dxa" w:w="113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产品</w:t>
            </w:r>
          </w:p>
        </w:tc>
        <w:tc>
          <w:tcPr>
            <w:tcW w:type="dxa" w:w="4195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KSManage 数据中心管理平台</w:t>
            </w:r>
          </w:p>
        </w:tc>
        <w:tc>
          <w:tcPr>
            <w:tcW w:type="dxa" w:w="3969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aivres.com/newsroom/ksmanage-data-center-management-platform/</w:t>
            </w:r>
          </w:p>
        </w:tc>
      </w:tr>
      <w:tr>
        <w:tc>
          <w:tcPr>
            <w:tcW w:type="dxa" w:w="113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认证</w:t>
            </w:r>
          </w:p>
        </w:tc>
        <w:tc>
          <w:tcPr>
            <w:tcW w:type="dxa" w:w="4195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UL Solutions E544276（KR6288 全系子型号归属 AIVRES SYSTEMS INC）</w:t>
            </w:r>
          </w:p>
        </w:tc>
        <w:tc>
          <w:tcPr>
            <w:tcW w:type="dxa" w:w="3969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productiq.ulprospector.com/ja/profile/8182575/azot7.e544276</w:t>
            </w:r>
          </w:p>
        </w:tc>
      </w:tr>
    </w:tbl>
    <w:p/>
    <w:p>
      <w:pPr>
        <w:pStyle w:val="Heading2"/>
      </w:pPr>
      <w:r>
        <w:rPr>
          <w:rFonts w:ascii="Microsoft YaHei" w:hAnsi="Microsoft YaHei" w:eastAsia="Microsoft YaHei"/>
          <w:color w:val="2C5F9E"/>
          <w:sz w:val="26"/>
        </w:rPr>
        <w:t>5.3 Kaytus × Aivres 全产品矩阵对比（基于官网 2026/08 抓取）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本节基于 Kaytus 官网（Rack and Tower / Multi-Node / Edge Computing / AI 页面）与 Aivres 官网（Compute / GPU / NVIDIA 页面）2026 年 8 月抓取的最新公开产品列表，逐一比对两品牌覆盖的产品型号、CPU/GPU 平台、形态、市场定位差异。</w:t>
      </w:r>
    </w:p>
    <w:p>
      <w:pPr>
        <w:pStyle w:val="Heading3"/>
      </w:pPr>
      <w:r>
        <w:rPr>
          <w:rFonts w:ascii="Microsoft YaHei" w:hAnsi="Microsoft YaHei" w:eastAsia="Microsoft YaHei"/>
          <w:color w:val="333333"/>
          <w:sz w:val="23"/>
        </w:rPr>
        <w:t>（1）通算服务器（Compute / Rack and Tower）合并对比表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将 Kaytus 与 Aivres 通算服务器合并到同一张表，按形态分类，逐型号（系列）对照 CPU 平台与命名差异。判断规则：同型号 = 命名数字一致且 CPU 平台一致；同系列 = 命名数字一致但 CPU 后缀或代次不同。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134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形态</w:t>
            </w:r>
          </w:p>
        </w:tc>
        <w:tc>
          <w:tcPr>
            <w:tcW w:type="dxa" w:w="1701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Kaytus 型号</w:t>
            </w:r>
          </w:p>
        </w:tc>
        <w:tc>
          <w:tcPr>
            <w:tcW w:type="dxa" w:w="1928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Kaytus CPU 平台</w:t>
            </w:r>
          </w:p>
        </w:tc>
        <w:tc>
          <w:tcPr>
            <w:tcW w:type="dxa" w:w="1701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Aivres 同型/同系列</w:t>
            </w:r>
          </w:p>
        </w:tc>
        <w:tc>
          <w:tcPr>
            <w:tcW w:type="dxa" w:w="1928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Aivres CPU 平台</w:t>
            </w:r>
          </w:p>
        </w:tc>
        <w:tc>
          <w:tcPr>
            <w:tcW w:type="dxa" w:w="2494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同型 vs 差异</w:t>
            </w:r>
          </w:p>
        </w:tc>
      </w:tr>
      <w:tr>
        <w:tc>
          <w:tcPr>
            <w:tcW w:type="dxa" w:w="113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1U 1-Socket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KR1180V2</w:t>
            </w:r>
          </w:p>
        </w:tc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AMD EPYC 9004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KR1180-E2</w:t>
            </w:r>
          </w:p>
        </w:tc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AMD EPYC 9004</w:t>
            </w:r>
          </w:p>
        </w:tc>
        <w:tc>
          <w:tcPr>
            <w:tcW w:type="dxa" w:w="249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同型（V2=E2）</w:t>
            </w:r>
          </w:p>
        </w:tc>
      </w:tr>
      <w:tr>
        <w:tc>
          <w:tcPr>
            <w:tcW w:type="dxa" w:w="113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1U 1-Socket</w:t>
            </w:r>
          </w:p>
        </w:tc>
        <w:tc>
          <w:tcPr>
            <w:tcW w:type="dxa" w:w="170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KR1180V3（AMD）</w:t>
            </w:r>
          </w:p>
        </w:tc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AMD EPYC 9005</w:t>
            </w:r>
          </w:p>
        </w:tc>
        <w:tc>
          <w:tcPr>
            <w:tcW w:type="dxa" w:w="170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KR1180-E3</w:t>
            </w:r>
          </w:p>
        </w:tc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AMD EPYC 9005</w:t>
            </w:r>
          </w:p>
        </w:tc>
        <w:tc>
          <w:tcPr>
            <w:tcW w:type="dxa" w:w="249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同型（V3=E3，AMD）</w:t>
            </w:r>
          </w:p>
        </w:tc>
      </w:tr>
      <w:tr>
        <w:tc>
          <w:tcPr>
            <w:tcW w:type="dxa" w:w="113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1U 1-Socket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KR1180V3（Intel）</w:t>
            </w:r>
          </w:p>
        </w:tc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Intel Xeon 6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KR1180-X3</w:t>
            </w:r>
          </w:p>
        </w:tc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Intel Xeon 6</w:t>
            </w:r>
          </w:p>
        </w:tc>
        <w:tc>
          <w:tcPr>
            <w:tcW w:type="dxa" w:w="249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同型（V3=X3，Intel）</w:t>
            </w:r>
          </w:p>
        </w:tc>
      </w:tr>
      <w:tr>
        <w:tc>
          <w:tcPr>
            <w:tcW w:type="dxa" w:w="113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1U 2-Socket</w:t>
            </w:r>
          </w:p>
        </w:tc>
        <w:tc>
          <w:tcPr>
            <w:tcW w:type="dxa" w:w="170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KR1270V2</w:t>
            </w:r>
          </w:p>
        </w:tc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4th/5th Gen Intel Xeon</w:t>
            </w:r>
          </w:p>
        </w:tc>
        <w:tc>
          <w:tcPr>
            <w:tcW w:type="dxa" w:w="170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KR1270V2</w:t>
            </w:r>
          </w:p>
        </w:tc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4th/5th Gen Intel Xeon</w:t>
            </w:r>
          </w:p>
        </w:tc>
        <w:tc>
          <w:tcPr>
            <w:tcW w:type="dxa" w:w="249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完全同型</w:t>
            </w:r>
          </w:p>
        </w:tc>
      </w:tr>
      <w:tr>
        <w:tc>
          <w:tcPr>
            <w:tcW w:type="dxa" w:w="113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1U 2-Socket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KR1280V2（Intel）</w:t>
            </w:r>
          </w:p>
        </w:tc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4th Gen Intel Xeon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KR1280-X2</w:t>
            </w:r>
          </w:p>
        </w:tc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4th/5th Gen Intel Xeon</w:t>
            </w:r>
          </w:p>
        </w:tc>
        <w:tc>
          <w:tcPr>
            <w:tcW w:type="dxa" w:w="249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同系列（V2=X2，Intel）</w:t>
            </w:r>
          </w:p>
        </w:tc>
      </w:tr>
      <w:tr>
        <w:tc>
          <w:tcPr>
            <w:tcW w:type="dxa" w:w="113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1U 2-Socket</w:t>
            </w:r>
          </w:p>
        </w:tc>
        <w:tc>
          <w:tcPr>
            <w:tcW w:type="dxa" w:w="170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KR1280V2（AMD）</w:t>
            </w:r>
          </w:p>
        </w:tc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4th Gen AMD EPYC</w:t>
            </w:r>
          </w:p>
        </w:tc>
        <w:tc>
          <w:tcPr>
            <w:tcW w:type="dxa" w:w="170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KR1280-E2</w:t>
            </w:r>
          </w:p>
        </w:tc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AMD EPYC 9004</w:t>
            </w:r>
          </w:p>
        </w:tc>
        <w:tc>
          <w:tcPr>
            <w:tcW w:type="dxa" w:w="249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同系列（V2=E2，AMD）</w:t>
            </w:r>
          </w:p>
        </w:tc>
      </w:tr>
      <w:tr>
        <w:tc>
          <w:tcPr>
            <w:tcW w:type="dxa" w:w="113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1U 2-Socket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KR1280V3（Intel）</w:t>
            </w:r>
          </w:p>
        </w:tc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Intel Xeon 6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KR1280-X3</w:t>
            </w:r>
          </w:p>
        </w:tc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Intel Xeon 6</w:t>
            </w:r>
          </w:p>
        </w:tc>
        <w:tc>
          <w:tcPr>
            <w:tcW w:type="dxa" w:w="249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同型（V3=X3，Intel）</w:t>
            </w:r>
          </w:p>
        </w:tc>
      </w:tr>
      <w:tr>
        <w:tc>
          <w:tcPr>
            <w:tcW w:type="dxa" w:w="113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1U 2-Socket</w:t>
            </w:r>
          </w:p>
        </w:tc>
        <w:tc>
          <w:tcPr>
            <w:tcW w:type="dxa" w:w="170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KR1280V3（AMD）</w:t>
            </w:r>
          </w:p>
        </w:tc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AMD EPYC 9005</w:t>
            </w:r>
          </w:p>
        </w:tc>
        <w:tc>
          <w:tcPr>
            <w:tcW w:type="dxa" w:w="170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KR1280-E3</w:t>
            </w:r>
          </w:p>
        </w:tc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AMD EPYC 9005</w:t>
            </w:r>
          </w:p>
        </w:tc>
        <w:tc>
          <w:tcPr>
            <w:tcW w:type="dxa" w:w="249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同型（V3=E3，AMD）</w:t>
            </w:r>
          </w:p>
        </w:tc>
      </w:tr>
      <w:tr>
        <w:tc>
          <w:tcPr>
            <w:tcW w:type="dxa" w:w="113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2U 1-Socket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KR2180V2</w:t>
            </w:r>
          </w:p>
        </w:tc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AMD EPYC 9004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KR2180-E2</w:t>
            </w:r>
          </w:p>
        </w:tc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AMD EPYC 9004</w:t>
            </w:r>
          </w:p>
        </w:tc>
        <w:tc>
          <w:tcPr>
            <w:tcW w:type="dxa" w:w="249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同型（V2=E2）</w:t>
            </w:r>
          </w:p>
        </w:tc>
      </w:tr>
      <w:tr>
        <w:tc>
          <w:tcPr>
            <w:tcW w:type="dxa" w:w="113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2U 1-Socket</w:t>
            </w:r>
          </w:p>
        </w:tc>
        <w:tc>
          <w:tcPr>
            <w:tcW w:type="dxa" w:w="170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KR2180V3</w:t>
            </w:r>
          </w:p>
        </w:tc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AMD EPYC 9005</w:t>
            </w:r>
          </w:p>
        </w:tc>
        <w:tc>
          <w:tcPr>
            <w:tcW w:type="dxa" w:w="170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KR2180-E3</w:t>
            </w:r>
          </w:p>
        </w:tc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AMD EPYC 9005</w:t>
            </w:r>
          </w:p>
        </w:tc>
        <w:tc>
          <w:tcPr>
            <w:tcW w:type="dxa" w:w="249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同型（V3=E3，AMD）</w:t>
            </w:r>
          </w:p>
        </w:tc>
      </w:tr>
      <w:tr>
        <w:tc>
          <w:tcPr>
            <w:tcW w:type="dxa" w:w="113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2U 1-Socket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KR2190V3（Intel）</w:t>
            </w:r>
          </w:p>
        </w:tc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Intel Xeon 6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</w:t>
            </w:r>
          </w:p>
        </w:tc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</w:t>
            </w:r>
          </w:p>
        </w:tc>
        <w:tc>
          <w:tcPr>
            <w:tcW w:type="dxa" w:w="249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Kaytus 独占（Aivres 无 2U Intel 1-S）</w:t>
            </w:r>
          </w:p>
        </w:tc>
      </w:tr>
      <w:tr>
        <w:tc>
          <w:tcPr>
            <w:tcW w:type="dxa" w:w="113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2U 1-Socket</w:t>
            </w:r>
          </w:p>
        </w:tc>
        <w:tc>
          <w:tcPr>
            <w:tcW w:type="dxa" w:w="170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KR2190V3（AMD）</w:t>
            </w:r>
          </w:p>
        </w:tc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AMD EPYC 9005</w:t>
            </w:r>
          </w:p>
        </w:tc>
        <w:tc>
          <w:tcPr>
            <w:tcW w:type="dxa" w:w="170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</w:t>
            </w:r>
          </w:p>
        </w:tc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</w:t>
            </w:r>
          </w:p>
        </w:tc>
        <w:tc>
          <w:tcPr>
            <w:tcW w:type="dxa" w:w="249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Kaytus 独占</w:t>
            </w:r>
          </w:p>
        </w:tc>
      </w:tr>
      <w:tr>
        <w:tc>
          <w:tcPr>
            <w:tcW w:type="dxa" w:w="113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2U 2-Socket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KR2280V2（Intel）</w:t>
            </w:r>
          </w:p>
        </w:tc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4th/5th Gen Intel Xeon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KR2280-X2</w:t>
            </w:r>
          </w:p>
        </w:tc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4th/5th Gen Intel Xeon</w:t>
            </w:r>
          </w:p>
        </w:tc>
        <w:tc>
          <w:tcPr>
            <w:tcW w:type="dxa" w:w="249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同型（V2=X2，Intel）</w:t>
            </w:r>
          </w:p>
        </w:tc>
      </w:tr>
      <w:tr>
        <w:tc>
          <w:tcPr>
            <w:tcW w:type="dxa" w:w="113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2U 2-Socket</w:t>
            </w:r>
          </w:p>
        </w:tc>
        <w:tc>
          <w:tcPr>
            <w:tcW w:type="dxa" w:w="170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KR2280V2（AMD）</w:t>
            </w:r>
          </w:p>
        </w:tc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4th Gen AMD EPYC</w:t>
            </w:r>
          </w:p>
        </w:tc>
        <w:tc>
          <w:tcPr>
            <w:tcW w:type="dxa" w:w="170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KR2280-E2</w:t>
            </w:r>
          </w:p>
        </w:tc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AMD EPYC 9004</w:t>
            </w:r>
          </w:p>
        </w:tc>
        <w:tc>
          <w:tcPr>
            <w:tcW w:type="dxa" w:w="249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同系列（V2=E2，AMD）</w:t>
            </w:r>
          </w:p>
        </w:tc>
      </w:tr>
      <w:tr>
        <w:tc>
          <w:tcPr>
            <w:tcW w:type="dxa" w:w="113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2U 2-Socket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KR2280V3（Intel）</w:t>
            </w:r>
          </w:p>
        </w:tc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Intel Xeon 6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KR2280 Series（X3）</w:t>
            </w:r>
          </w:p>
        </w:tc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Intel Xeon 6</w:t>
            </w:r>
          </w:p>
        </w:tc>
        <w:tc>
          <w:tcPr>
            <w:tcW w:type="dxa" w:w="249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同型（V3=X3，Intel）</w:t>
            </w:r>
          </w:p>
        </w:tc>
      </w:tr>
      <w:tr>
        <w:tc>
          <w:tcPr>
            <w:tcW w:type="dxa" w:w="113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2U 2-Socket</w:t>
            </w:r>
          </w:p>
        </w:tc>
        <w:tc>
          <w:tcPr>
            <w:tcW w:type="dxa" w:w="170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KR2280V3（AMD）</w:t>
            </w:r>
          </w:p>
        </w:tc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AMD EPYC 9005</w:t>
            </w:r>
          </w:p>
        </w:tc>
        <w:tc>
          <w:tcPr>
            <w:tcW w:type="dxa" w:w="170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KR2280 Series（E3）</w:t>
            </w:r>
          </w:p>
        </w:tc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AMD EPYC 9005</w:t>
            </w:r>
          </w:p>
        </w:tc>
        <w:tc>
          <w:tcPr>
            <w:tcW w:type="dxa" w:w="249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同型（V3=E3，AMD）</w:t>
            </w:r>
          </w:p>
        </w:tc>
      </w:tr>
      <w:tr>
        <w:tc>
          <w:tcPr>
            <w:tcW w:type="dxa" w:w="113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2U 2-Socket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KR2266V2</w:t>
            </w:r>
          </w:p>
        </w:tc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4th Gen Intel Xeon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KR2266V2</w:t>
            </w:r>
          </w:p>
        </w:tc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4th/5th Gen Intel Xeon</w:t>
            </w:r>
          </w:p>
        </w:tc>
        <w:tc>
          <w:tcPr>
            <w:tcW w:type="dxa" w:w="249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完全同型（存储优化，600TB+ 三层抽屉）</w:t>
            </w:r>
          </w:p>
        </w:tc>
      </w:tr>
      <w:tr>
        <w:tc>
          <w:tcPr>
            <w:tcW w:type="dxa" w:w="113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2U 4-Socket</w:t>
            </w:r>
          </w:p>
        </w:tc>
        <w:tc>
          <w:tcPr>
            <w:tcW w:type="dxa" w:w="170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KR2460V2</w:t>
            </w:r>
          </w:p>
        </w:tc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4th Gen Intel Xeon</w:t>
            </w:r>
          </w:p>
        </w:tc>
        <w:tc>
          <w:tcPr>
            <w:tcW w:type="dxa" w:w="170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KR2460V2</w:t>
            </w:r>
          </w:p>
        </w:tc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4th Gen Intel Xeon</w:t>
            </w:r>
          </w:p>
        </w:tc>
        <w:tc>
          <w:tcPr>
            <w:tcW w:type="dxa" w:w="249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完全同型</w:t>
            </w:r>
          </w:p>
        </w:tc>
      </w:tr>
      <w:tr>
        <w:tc>
          <w:tcPr>
            <w:tcW w:type="dxa" w:w="113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4U 2-Socket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KR4266V2</w:t>
            </w:r>
          </w:p>
        </w:tc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4th Gen Intel Xeon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KR4266V2</w:t>
            </w:r>
          </w:p>
        </w:tc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4th/5th Gen Intel Xeon</w:t>
            </w:r>
          </w:p>
        </w:tc>
        <w:tc>
          <w:tcPr>
            <w:tcW w:type="dxa" w:w="249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同型</w:t>
            </w:r>
          </w:p>
        </w:tc>
      </w:tr>
      <w:tr>
        <w:tc>
          <w:tcPr>
            <w:tcW w:type="dxa" w:w="113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4U 2-Socket</w:t>
            </w:r>
          </w:p>
        </w:tc>
        <w:tc>
          <w:tcPr>
            <w:tcW w:type="dxa" w:w="170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KR4266V3</w:t>
            </w:r>
          </w:p>
        </w:tc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Intel Xeon 6</w:t>
            </w:r>
          </w:p>
        </w:tc>
        <w:tc>
          <w:tcPr>
            <w:tcW w:type="dxa" w:w="170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KR4266V3</w:t>
            </w:r>
          </w:p>
        </w:tc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Intel Xeon 6</w:t>
            </w:r>
          </w:p>
        </w:tc>
        <w:tc>
          <w:tcPr>
            <w:tcW w:type="dxa" w:w="249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完全同型</w:t>
            </w:r>
          </w:p>
        </w:tc>
      </w:tr>
      <w:tr>
        <w:tc>
          <w:tcPr>
            <w:tcW w:type="dxa" w:w="113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4U 2-Socket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KR4276V2</w:t>
            </w:r>
          </w:p>
        </w:tc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4th Gen Intel Xeon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</w:t>
            </w:r>
          </w:p>
        </w:tc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</w:t>
            </w:r>
          </w:p>
        </w:tc>
        <w:tc>
          <w:tcPr>
            <w:tcW w:type="dxa" w:w="249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Kaytus 保留老款；Aivres 主推 KR4480V3</w:t>
            </w:r>
          </w:p>
        </w:tc>
      </w:tr>
      <w:tr>
        <w:tc>
          <w:tcPr>
            <w:tcW w:type="dxa" w:w="113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4U 4-Socket</w:t>
            </w:r>
          </w:p>
        </w:tc>
        <w:tc>
          <w:tcPr>
            <w:tcW w:type="dxa" w:w="170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KR4480V2</w:t>
            </w:r>
          </w:p>
        </w:tc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4th Gen Intel Xeon</w:t>
            </w:r>
          </w:p>
        </w:tc>
        <w:tc>
          <w:tcPr>
            <w:tcW w:type="dxa" w:w="170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</w:t>
            </w:r>
          </w:p>
        </w:tc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</w:t>
            </w:r>
          </w:p>
        </w:tc>
        <w:tc>
          <w:tcPr>
            <w:tcW w:type="dxa" w:w="249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Kaytus 保留老款；Aivres 已转入 V3</w:t>
            </w:r>
          </w:p>
        </w:tc>
      </w:tr>
      <w:tr>
        <w:tc>
          <w:tcPr>
            <w:tcW w:type="dxa" w:w="113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4U 4-Socket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KR4480V3</w:t>
            </w:r>
          </w:p>
        </w:tc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Intel Xeon 6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KR4480V3</w:t>
            </w:r>
          </w:p>
        </w:tc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Intel Xeon 6</w:t>
            </w:r>
          </w:p>
        </w:tc>
        <w:tc>
          <w:tcPr>
            <w:tcW w:type="dxa" w:w="249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完全同型</w:t>
            </w:r>
          </w:p>
        </w:tc>
      </w:tr>
      <w:tr>
        <w:tc>
          <w:tcPr>
            <w:tcW w:type="dxa" w:w="113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4U 4-Socket</w:t>
            </w:r>
          </w:p>
        </w:tc>
        <w:tc>
          <w:tcPr>
            <w:tcW w:type="dxa" w:w="170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KR4276V2</w:t>
            </w:r>
          </w:p>
        </w:tc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4th Gen Intel Xeon</w:t>
            </w:r>
          </w:p>
        </w:tc>
        <w:tc>
          <w:tcPr>
            <w:tcW w:type="dxa" w:w="170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</w:t>
            </w:r>
          </w:p>
        </w:tc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</w:t>
            </w:r>
          </w:p>
        </w:tc>
        <w:tc>
          <w:tcPr>
            <w:tcW w:type="dxa" w:w="249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Kaytus 保留</w:t>
            </w:r>
          </w:p>
        </w:tc>
      </w:tr>
      <w:tr>
        <w:tc>
          <w:tcPr>
            <w:tcW w:type="dxa" w:w="113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6U 8-Socket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KR6880V2</w:t>
            </w:r>
          </w:p>
        </w:tc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4th Gen Intel Xeon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KR6880V2</w:t>
            </w:r>
          </w:p>
        </w:tc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4th Gen Intel Xeon</w:t>
            </w:r>
          </w:p>
        </w:tc>
        <w:tc>
          <w:tcPr>
            <w:tcW w:type="dxa" w:w="249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完全同型</w:t>
            </w:r>
          </w:p>
        </w:tc>
      </w:tr>
      <w:tr>
        <w:tc>
          <w:tcPr>
            <w:tcW w:type="dxa" w:w="113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塔式</w:t>
            </w:r>
          </w:p>
        </w:tc>
        <w:tc>
          <w:tcPr>
            <w:tcW w:type="dxa" w:w="170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KT3020V2</w:t>
            </w:r>
          </w:p>
        </w:tc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Intel Xeon E / Pentium</w:t>
            </w:r>
          </w:p>
        </w:tc>
        <w:tc>
          <w:tcPr>
            <w:tcW w:type="dxa" w:w="170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</w:t>
            </w:r>
          </w:p>
        </w:tc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</w:t>
            </w:r>
          </w:p>
        </w:tc>
        <w:tc>
          <w:tcPr>
            <w:tcW w:type="dxa" w:w="249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Kaytus 独占</w:t>
            </w:r>
          </w:p>
        </w:tc>
      </w:tr>
      <w:tr>
        <w:tc>
          <w:tcPr>
            <w:tcW w:type="dxa" w:w="113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多节点 2U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K22V2</w:t>
            </w:r>
          </w:p>
        </w:tc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 节点 × 1× EPYC 9004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K22-E2</w:t>
            </w:r>
          </w:p>
        </w:tc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 节点 × 1× EPYC 9004</w:t>
            </w:r>
          </w:p>
        </w:tc>
        <w:tc>
          <w:tcPr>
            <w:tcW w:type="dxa" w:w="249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同型（V2=E2）</w:t>
            </w:r>
          </w:p>
        </w:tc>
      </w:tr>
      <w:tr>
        <w:tc>
          <w:tcPr>
            <w:tcW w:type="dxa" w:w="113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多节点 2U</w:t>
            </w:r>
          </w:p>
        </w:tc>
        <w:tc>
          <w:tcPr>
            <w:tcW w:type="dxa" w:w="170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K22V3</w:t>
            </w:r>
          </w:p>
        </w:tc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 节点 × 1× EPYC 9005</w:t>
            </w:r>
          </w:p>
        </w:tc>
        <w:tc>
          <w:tcPr>
            <w:tcW w:type="dxa" w:w="170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K22-E3</w:t>
            </w:r>
          </w:p>
        </w:tc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 节点 × 1× EPYC 9005</w:t>
            </w:r>
          </w:p>
        </w:tc>
        <w:tc>
          <w:tcPr>
            <w:tcW w:type="dxa" w:w="249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同型（V3=E3）</w:t>
            </w:r>
          </w:p>
        </w:tc>
      </w:tr>
      <w:tr>
        <w:tc>
          <w:tcPr>
            <w:tcW w:type="dxa" w:w="113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多节点 2U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K24V2（Intel）</w:t>
            </w:r>
          </w:p>
        </w:tc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4 节点 × 2× Xeon 4/5 Gen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K22-X2</w:t>
            </w:r>
          </w:p>
        </w:tc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 节点 × 1× Xeon 4/5 Gen</w:t>
            </w:r>
          </w:p>
        </w:tc>
        <w:tc>
          <w:tcPr>
            <w:tcW w:type="dxa" w:w="249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不同型（Kaytus 4N2S，Aivres 2N1S）</w:t>
            </w:r>
          </w:p>
        </w:tc>
      </w:tr>
      <w:tr>
        <w:tc>
          <w:tcPr>
            <w:tcW w:type="dxa" w:w="113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多节点 2U</w:t>
            </w:r>
          </w:p>
        </w:tc>
        <w:tc>
          <w:tcPr>
            <w:tcW w:type="dxa" w:w="170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K24V2（AMD）</w:t>
            </w:r>
          </w:p>
        </w:tc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4 节点 × 2× EPYC 9004</w:t>
            </w:r>
          </w:p>
        </w:tc>
        <w:tc>
          <w:tcPr>
            <w:tcW w:type="dxa" w:w="170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K24-2S</w:t>
            </w:r>
          </w:p>
        </w:tc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4 节点 × 2× Xeon/EPYC</w:t>
            </w:r>
          </w:p>
        </w:tc>
        <w:tc>
          <w:tcPr>
            <w:tcW w:type="dxa" w:w="249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同型（4N2S）</w:t>
            </w:r>
          </w:p>
        </w:tc>
      </w:tr>
      <w:tr>
        <w:tc>
          <w:tcPr>
            <w:tcW w:type="dxa" w:w="113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多节点 2U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K24V3（Intel）</w:t>
            </w:r>
          </w:p>
        </w:tc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4 节点 × 2× Xeon 6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</w:t>
            </w:r>
          </w:p>
        </w:tc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</w:t>
            </w:r>
          </w:p>
        </w:tc>
        <w:tc>
          <w:tcPr>
            <w:tcW w:type="dxa" w:w="249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Kaytus 领先一代</w:t>
            </w:r>
          </w:p>
        </w:tc>
      </w:tr>
      <w:tr>
        <w:tc>
          <w:tcPr>
            <w:tcW w:type="dxa" w:w="113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多节点 2U</w:t>
            </w:r>
          </w:p>
        </w:tc>
        <w:tc>
          <w:tcPr>
            <w:tcW w:type="dxa" w:w="170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K24V3（AMD）</w:t>
            </w:r>
          </w:p>
        </w:tc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4 节点 × 2× EPYC 9005</w:t>
            </w:r>
          </w:p>
        </w:tc>
        <w:tc>
          <w:tcPr>
            <w:tcW w:type="dxa" w:w="170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</w:t>
            </w:r>
          </w:p>
        </w:tc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</w:t>
            </w:r>
          </w:p>
        </w:tc>
        <w:tc>
          <w:tcPr>
            <w:tcW w:type="dxa" w:w="249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Kaytus 领先一代</w:t>
            </w:r>
          </w:p>
        </w:tc>
      </w:tr>
    </w:tbl>
    <w:p/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通算合并对比小结：①两家命名规则高度统一——Kaytus 用 "V2/V3" 后缀对应 CPU 代次，Aivres 用 "X2/X3=Intel、E2/E3=AMD" 后缀区分厂商，本质上同一硬件平台的双标签外销版本；②共 16 组一对一/一对多映射，覆盖 1U 1-S、1U 2-S、2U 1-S、2U 2-S、2U 4-S、4U 2-S、4U 4-S、6U 8-S、多节点 2U 全部主流形态；③Kaytus 独占 SKU：KR2190V3（2U Intel 1-S）、KT3020V2（塔式）、K24V3 系列（多节点最新代）；④Aivres 在 4U 4-Socket 已合并到 KR4480V3（V2 老款仅 Kaytus 保留）；⑤多节点命名差异：Kaytus K22=K22 2 节点、K24=K24 4 节点，Aivres K22 = 2 节点、K24-2S = 4 节点，命名颗粒度更细。</w:t>
      </w:r>
    </w:p>
    <w:p>
      <w:pPr>
        <w:pStyle w:val="Heading3"/>
      </w:pPr>
      <w:r>
        <w:rPr>
          <w:rFonts w:ascii="Microsoft YaHei" w:hAnsi="Microsoft YaHei" w:eastAsia="Microsoft YaHei"/>
          <w:color w:val="333333"/>
          <w:sz w:val="23"/>
        </w:rPr>
        <w:t>（2）边缘服务器（Edge Computing）对比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Kaytus 在边缘侧产品线明显比 Aivres 更丰富——提供从 1U 到 4U 的 Intel/AMD/NVIDIA Jetson 全栈：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1134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形态</w:t>
            </w:r>
          </w:p>
        </w:tc>
        <w:tc>
          <w:tcPr>
            <w:tcW w:type="dxa" w:w="4082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Kaytus 型号（CPU / GPU）</w:t>
            </w:r>
          </w:p>
        </w:tc>
        <w:tc>
          <w:tcPr>
            <w:tcW w:type="dxa" w:w="1814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Aivres 型号</w:t>
            </w:r>
          </w:p>
        </w:tc>
        <w:tc>
          <w:tcPr>
            <w:tcW w:type="dxa" w:w="1701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差异</w:t>
            </w:r>
          </w:p>
        </w:tc>
      </w:tr>
      <w:tr>
        <w:tc>
          <w:tcPr>
            <w:tcW w:type="dxa" w:w="113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1U 边缘</w:t>
            </w:r>
          </w:p>
        </w:tc>
        <w:tc>
          <w:tcPr>
            <w:tcW w:type="dxa" w:w="4082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KE1120V1（Xeon-E Coffee Lake, TDP 95W, 2 GPU）/ KE1160V1（Xeon-D Skylake, TDP 110W, 2 GPU）/ KE1160V2（Xeon 4/5, 2 GPU, 2 PCIe）</w:t>
            </w:r>
          </w:p>
        </w:tc>
        <w:tc>
          <w:tcPr>
            <w:tcW w:type="dxa" w:w="181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暂无独立 Edge 页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Kaytus 独有 Edge 产品线</w:t>
            </w:r>
          </w:p>
        </w:tc>
      </w:tr>
      <w:tr>
        <w:tc>
          <w:tcPr>
            <w:tcW w:type="dxa" w:w="113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2U 边缘</w:t>
            </w:r>
          </w:p>
        </w:tc>
        <w:tc>
          <w:tcPr>
            <w:tcW w:type="dxa" w:w="4082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KE2260V1（2nd Gen Xeon, TDP 205W, 4 GPU, 6 PCIe）/ KE2260V2（Xeon 4/5, 4 GPU, 6 PCIe）</w:t>
            </w:r>
          </w:p>
        </w:tc>
        <w:tc>
          <w:tcPr>
            <w:tcW w:type="dxa" w:w="181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</w:t>
            </w:r>
          </w:p>
        </w:tc>
        <w:tc>
          <w:tcPr>
            <w:tcW w:type="dxa" w:w="170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Kaytus 独有</w:t>
            </w:r>
          </w:p>
        </w:tc>
      </w:tr>
      <w:tr>
        <w:tc>
          <w:tcPr>
            <w:tcW w:type="dxa" w:w="113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4U 边缘</w:t>
            </w:r>
          </w:p>
        </w:tc>
        <w:tc>
          <w:tcPr>
            <w:tcW w:type="dxa" w:w="4082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KE4160V1（2nd Gen Xeon, TDP 105W, 2 GPU）</w:t>
            </w:r>
          </w:p>
        </w:tc>
        <w:tc>
          <w:tcPr>
            <w:tcW w:type="dxa" w:w="181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Kaytus 独有</w:t>
            </w:r>
          </w:p>
        </w:tc>
      </w:tr>
      <w:tr>
        <w:tc>
          <w:tcPr>
            <w:tcW w:type="dxa" w:w="113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1U NVIDIA Jetson</w:t>
            </w:r>
          </w:p>
        </w:tc>
        <w:tc>
          <w:tcPr>
            <w:tcW w:type="dxa" w:w="4082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KES200（Jetson Nano / TX2 NX / Xavier NX / Orin Nano）</w:t>
            </w:r>
          </w:p>
        </w:tc>
        <w:tc>
          <w:tcPr>
            <w:tcW w:type="dxa" w:w="181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</w:t>
            </w:r>
          </w:p>
        </w:tc>
        <w:tc>
          <w:tcPr>
            <w:tcW w:type="dxa" w:w="170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Kaytus 独有</w:t>
            </w:r>
          </w:p>
        </w:tc>
      </w:tr>
      <w:tr>
        <w:tc>
          <w:tcPr>
            <w:tcW w:type="dxa" w:w="113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2U NVIDIA Jetson</w:t>
            </w:r>
          </w:p>
        </w:tc>
        <w:tc>
          <w:tcPr>
            <w:tcW w:type="dxa" w:w="4082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KES860（Jetson AGX Orin）</w:t>
            </w:r>
          </w:p>
        </w:tc>
        <w:tc>
          <w:tcPr>
            <w:tcW w:type="dxa" w:w="181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Kaytus 独有</w:t>
            </w:r>
          </w:p>
        </w:tc>
      </w:tr>
    </w:tbl>
    <w:p/>
    <w:p>
      <w:pPr>
        <w:pStyle w:val="Heading3"/>
      </w:pPr>
      <w:r>
        <w:rPr>
          <w:rFonts w:ascii="Microsoft YaHei" w:hAnsi="Microsoft YaHei" w:eastAsia="Microsoft YaHei"/>
          <w:color w:val="333333"/>
          <w:sz w:val="23"/>
        </w:rPr>
        <w:t>（3）AI / GPU 服务器对比（核心差异最大）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AI/GPU 服务器是 Kaytus 与 Aivres 产品矩阵差异最大的板块——Kaytus 官方 AI 页面仅展示"全栈 AI 解决方案"概念，未在产品列表中给出独立 8-GPU HGX SKU；Aivres 则完整覆盖 NVIDIA HGX 全代际、AMD Instinct、Intel Gaudi 与 PCIe 路径：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361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形态</w:t>
            </w:r>
          </w:p>
        </w:tc>
        <w:tc>
          <w:tcPr>
            <w:tcW w:type="dxa" w:w="1474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Kaytus 型号</w:t>
            </w:r>
          </w:p>
        </w:tc>
        <w:tc>
          <w:tcPr>
            <w:tcW w:type="dxa" w:w="2041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Aivres 型号</w:t>
            </w:r>
          </w:p>
        </w:tc>
        <w:tc>
          <w:tcPr>
            <w:tcW w:type="dxa" w:w="2041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GPU 平台</w:t>
            </w:r>
          </w:p>
        </w:tc>
        <w:tc>
          <w:tcPr>
            <w:tcW w:type="dxa" w:w="1928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差异说明</w:t>
            </w:r>
          </w:p>
        </w:tc>
      </w:tr>
      <w:tr>
        <w:tc>
          <w:tcPr>
            <w:tcW w:type="dxa" w:w="136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6U HGX</w:t>
            </w:r>
          </w:p>
        </w:tc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—（官网未列独立 SKU）</w:t>
            </w:r>
          </w:p>
        </w:tc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KR6288（Intel/AMD EPYC）</w:t>
            </w:r>
          </w:p>
        </w:tc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NVIDIA HGX H200 8-GPU</w:t>
            </w:r>
          </w:p>
        </w:tc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Aivres 独家</w:t>
            </w:r>
          </w:p>
        </w:tc>
      </w:tr>
      <w:tr>
        <w:tc>
          <w:tcPr>
            <w:tcW w:type="dxa" w:w="136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5U HGX（液冷）</w:t>
            </w:r>
          </w:p>
        </w:tc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</w:t>
            </w:r>
          </w:p>
        </w:tc>
        <w:tc>
          <w:tcPr>
            <w:tcW w:type="dxa" w:w="204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KR5288</w:t>
            </w:r>
          </w:p>
        </w:tc>
        <w:tc>
          <w:tcPr>
            <w:tcW w:type="dxa" w:w="204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NVIDIA HGX B200 / B300 8-GPU</w:t>
            </w:r>
          </w:p>
        </w:tc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Aivres 独家；Blackwell/Ultra 时代</w:t>
            </w:r>
          </w:p>
        </w:tc>
      </w:tr>
      <w:tr>
        <w:tc>
          <w:tcPr>
            <w:tcW w:type="dxa" w:w="136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5U HGX（混合散热）</w:t>
            </w:r>
          </w:p>
        </w:tc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</w:t>
            </w:r>
          </w:p>
        </w:tc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KR5288 Rubin</w:t>
            </w:r>
          </w:p>
        </w:tc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NVIDIA HGX Rubin 8-GPU</w:t>
            </w:r>
          </w:p>
        </w:tc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Aivres 独家；下一代 Vera Rubin</w:t>
            </w:r>
          </w:p>
        </w:tc>
      </w:tr>
      <w:tr>
        <w:tc>
          <w:tcPr>
            <w:tcW w:type="dxa" w:w="136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2U HGX（液冷）</w:t>
            </w:r>
          </w:p>
        </w:tc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</w:t>
            </w:r>
          </w:p>
        </w:tc>
        <w:tc>
          <w:tcPr>
            <w:tcW w:type="dxa" w:w="204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KR2288</w:t>
            </w:r>
          </w:p>
        </w:tc>
        <w:tc>
          <w:tcPr>
            <w:tcW w:type="dxa" w:w="204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NVIDIA HGX Rubin 8-GPU</w:t>
            </w:r>
          </w:p>
        </w:tc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Aivres 独家；2U 形态 Rubin</w:t>
            </w:r>
          </w:p>
        </w:tc>
      </w:tr>
      <w:tr>
        <w:tc>
          <w:tcPr>
            <w:tcW w:type="dxa" w:w="136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10U HGX（风冷）</w:t>
            </w:r>
          </w:p>
        </w:tc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</w:t>
            </w:r>
          </w:p>
        </w:tc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KR9288</w:t>
            </w:r>
          </w:p>
        </w:tc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NVIDIA HGX B200 / B300 8-GPU；可选 Intel Gaudi OAM</w:t>
            </w:r>
          </w:p>
        </w:tc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Aivres 独家</w:t>
            </w:r>
          </w:p>
        </w:tc>
      </w:tr>
      <w:tr>
        <w:tc>
          <w:tcPr>
            <w:tcW w:type="dxa" w:w="136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6U PCIe 8-GPU</w:t>
            </w:r>
          </w:p>
        </w:tc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</w:t>
            </w:r>
          </w:p>
        </w:tc>
        <w:tc>
          <w:tcPr>
            <w:tcW w:type="dxa" w:w="204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KR6268</w:t>
            </w:r>
          </w:p>
        </w:tc>
        <w:tc>
          <w:tcPr>
            <w:tcW w:type="dxa" w:w="204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8× NVIDIA RTX PRO 6000 Blackwell / H200 NVL</w:t>
            </w:r>
          </w:p>
        </w:tc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Aivres 独家；PCIe 5.0</w:t>
            </w:r>
          </w:p>
        </w:tc>
      </w:tr>
      <w:tr>
        <w:tc>
          <w:tcPr>
            <w:tcW w:type="dxa" w:w="136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6U PCIe 8-GPU</w:t>
            </w:r>
          </w:p>
        </w:tc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</w:t>
            </w:r>
          </w:p>
        </w:tc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KR6278</w:t>
            </w:r>
          </w:p>
        </w:tc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8× RTX PRO 4500 / 6000 Blackwell Server Edition</w:t>
            </w:r>
          </w:p>
        </w:tc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Aivres 独家</w:t>
            </w:r>
          </w:p>
        </w:tc>
      </w:tr>
      <w:tr>
        <w:tc>
          <w:tcPr>
            <w:tcW w:type="dxa" w:w="136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4U PCIe 8-GPU</w:t>
            </w:r>
          </w:p>
        </w:tc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</w:t>
            </w:r>
          </w:p>
        </w:tc>
        <w:tc>
          <w:tcPr>
            <w:tcW w:type="dxa" w:w="204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KR4268</w:t>
            </w:r>
          </w:p>
        </w:tc>
        <w:tc>
          <w:tcPr>
            <w:tcW w:type="dxa" w:w="204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8× L40S / H100 等 PCIe 5.0</w:t>
            </w:r>
          </w:p>
        </w:tc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Aivres 独家</w:t>
            </w:r>
          </w:p>
        </w:tc>
      </w:tr>
      <w:tr>
        <w:tc>
          <w:tcPr>
            <w:tcW w:type="dxa" w:w="136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8-OAM（AMD）</w:t>
            </w:r>
          </w:p>
        </w:tc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</w:t>
            </w:r>
          </w:p>
        </w:tc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KR6298-E2</w:t>
            </w:r>
          </w:p>
        </w:tc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8× AMD Instinct MI300X</w:t>
            </w:r>
          </w:p>
        </w:tc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Aivres 独家；AMD 全栈备份</w:t>
            </w:r>
          </w:p>
        </w:tc>
      </w:tr>
      <w:tr>
        <w:tc>
          <w:tcPr>
            <w:tcW w:type="dxa" w:w="136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8-OAM（Intel）</w:t>
            </w:r>
          </w:p>
        </w:tc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</w:t>
            </w:r>
          </w:p>
        </w:tc>
        <w:tc>
          <w:tcPr>
            <w:tcW w:type="dxa" w:w="204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KR6298-X2</w:t>
            </w:r>
          </w:p>
        </w:tc>
        <w:tc>
          <w:tcPr>
            <w:tcW w:type="dxa" w:w="204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8× Intel Habana Gaudi 2</w:t>
            </w:r>
          </w:p>
        </w:tc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Aivres 独家；Intel 全栈备份</w:t>
            </w:r>
          </w:p>
        </w:tc>
      </w:tr>
      <w:tr>
        <w:tc>
          <w:tcPr>
            <w:tcW w:type="dxa" w:w="136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机柜级 NVL72（液冷）</w:t>
            </w:r>
          </w:p>
        </w:tc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—</w:t>
            </w:r>
          </w:p>
        </w:tc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KRS8000V3（GB200）/ KRS8500V3（GB300）/ KRS8000V4（Vera Rubin）</w:t>
            </w:r>
          </w:p>
        </w:tc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72 GPU + 36 CPU（Grace/Vera）</w:t>
            </w:r>
          </w:p>
        </w:tc>
        <w:tc>
          <w:tcPr>
            <w:tcW w:type="dxa" w:w="192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Aivres 独家；NVIDIA 顶级 NVL72 平台</w:t>
            </w:r>
          </w:p>
        </w:tc>
      </w:tr>
      <w:tr>
        <w:tc>
          <w:tcPr>
            <w:tcW w:type="dxa" w:w="136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通算兼 GPU</w:t>
            </w:r>
          </w:p>
        </w:tc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KR2280V2/V3（4 DW 或 8 SW PCIe）</w:t>
            </w:r>
          </w:p>
        </w:tc>
        <w:tc>
          <w:tcPr>
            <w:tcW w:type="dxa" w:w="204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KR2280 Series</w:t>
            </w:r>
          </w:p>
        </w:tc>
        <w:tc>
          <w:tcPr>
            <w:tcW w:type="dxa" w:w="204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4 DW 或 8 SW PCIe 5.0</w:t>
            </w:r>
          </w:p>
        </w:tc>
        <w:tc>
          <w:tcPr>
            <w:tcW w:type="dxa" w:w="192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通算 + GPU 双用</w:t>
            </w:r>
          </w:p>
        </w:tc>
      </w:tr>
    </w:tbl>
    <w:p/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核心结论：Kaytus 与 Aivres 在通算 / 多节点 / 边缘产品上同源程度高（"X=Intel / E=AMD"命名规律一致）；但在 AI/GPU 服务器领域，Aivres 才是真正的"全栈 AI 硬件平台"——覆盖 NVIDIA HGX Hopper / Blackwell / Vera Rubin 全栈、AMD Instinct MI300X、Intel Gaudi 2 与 PCIe L40S/RTX PRO 等多源加速器，并已发布 GB200 / GB300 NVL72 与 Vera Rubin NVL72 机柜级平台。这一差异说明 Inspur 系产品的海外 AI 算力出口主战场由 Aivres 承担，Kaytus 主要负责通算与边缘侧，并叠加"AI Factory + KSManage Ultra"解决方案层。</w:t>
      </w:r>
    </w:p>
    <w:p>
      <w:pPr>
        <w:pStyle w:val="Heading3"/>
      </w:pPr>
      <w:r>
        <w:rPr>
          <w:rFonts w:ascii="Microsoft YaHei" w:hAnsi="Microsoft YaHei" w:eastAsia="Microsoft YaHei"/>
          <w:color w:val="333333"/>
          <w:sz w:val="23"/>
        </w:rPr>
        <w:t>（4）存储与液冷产品对比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1474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类别</w:t>
            </w:r>
          </w:p>
        </w:tc>
        <w:tc>
          <w:tcPr>
            <w:tcW w:type="dxa" w:w="2494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Kaytus 型号</w:t>
            </w:r>
          </w:p>
        </w:tc>
        <w:tc>
          <w:tcPr>
            <w:tcW w:type="dxa" w:w="2494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Aivres 型号</w:t>
            </w:r>
          </w:p>
        </w:tc>
        <w:tc>
          <w:tcPr>
            <w:tcW w:type="dxa" w:w="2268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说明</w:t>
            </w:r>
          </w:p>
        </w:tc>
      </w:tr>
      <w:tr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存储服务器</w:t>
            </w:r>
          </w:p>
        </w:tc>
        <w:tc>
          <w:tcPr>
            <w:tcW w:type="dxa" w:w="249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KR2266V2（2U 三层抽屉 600TB+）/ KR4086V2 / KR4266V2/V3</w:t>
            </w:r>
          </w:p>
        </w:tc>
        <w:tc>
          <w:tcPr>
            <w:tcW w:type="dxa" w:w="249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KR2266V2 / KR4266V2 / KR4266V3</w:t>
            </w:r>
          </w:p>
        </w:tc>
        <w:tc>
          <w:tcPr>
            <w:tcW w:type="dxa" w:w="22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同源</w:t>
            </w:r>
          </w:p>
        </w:tc>
      </w:tr>
      <w:tr>
        <w:tc>
          <w:tcPr>
            <w:tcW w:type="dxa" w:w="147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液冷 GPU 服务器</w:t>
            </w:r>
          </w:p>
        </w:tc>
        <w:tc>
          <w:tcPr>
            <w:tcW w:type="dxa" w:w="249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KR6288V2 Intel/AMD（液冷方案页确认）</w:t>
            </w:r>
          </w:p>
        </w:tc>
        <w:tc>
          <w:tcPr>
            <w:tcW w:type="dxa" w:w="2494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KR5288 / KR5288 Rubin / KR2288 / KRS8000V3/V4（液冷 NVL72）</w:t>
            </w:r>
          </w:p>
        </w:tc>
        <w:tc>
          <w:tcPr>
            <w:tcW w:type="dxa" w:w="2268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Aivres 液冷产品线更完整</w:t>
            </w:r>
          </w:p>
        </w:tc>
      </w:tr>
      <w:tr>
        <w:tc>
          <w:tcPr>
            <w:tcW w:type="dxa" w:w="147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液冷存储</w:t>
            </w:r>
          </w:p>
        </w:tc>
        <w:tc>
          <w:tcPr>
            <w:tcW w:type="dxa" w:w="249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KR4266V2/V3（冷板式液冷）</w:t>
            </w:r>
          </w:p>
        </w:tc>
        <w:tc>
          <w:tcPr>
            <w:tcW w:type="dxa" w:w="2494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KR4266V3</w:t>
            </w:r>
          </w:p>
        </w:tc>
        <w:tc>
          <w:tcPr>
            <w:tcW w:type="dxa" w:w="22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同源</w:t>
            </w:r>
          </w:p>
        </w:tc>
      </w:tr>
    </w:tbl>
    <w:p/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小结：从覆盖广度看，Kaytus 在边缘与塔式工作站侧领先（KE1120/1160/2260/4160、KES200/860、KT3020V2 是 Kaytus 独占 SKU）；Aivres 在 AI/GPU 服务器侧领先（KR5288 / KR5288 Rubin / KR9288 / KR6288 / KR6298-E2 MI300X / KR6298-X2 Gaudi 2 / KRS8000V3 GB200 / KRS8500V3 GB300 / KRS8000V4 Vera Rubin NVL72 是 Aivres 独占 SKU）。两者形成清晰的"通算同源 + AI/GPU 偏 Aivres + 边缘偏 Kaytus"互补格局，对冲美国出口管制的同时最大化覆盖海外 70+ 国家与地区的差异化需求。</w:t>
      </w:r>
    </w:p>
    <w:p>
      <w:pPr>
        <w:pStyle w:val="Heading2"/>
      </w:pPr>
      <w:r>
        <w:rPr>
          <w:rFonts w:ascii="Microsoft YaHei" w:hAnsi="Microsoft YaHei" w:eastAsia="Microsoft YaHei"/>
          <w:color w:val="2C5F9E"/>
          <w:sz w:val="26"/>
        </w:rPr>
        <w:t>5.4 Kaytus 与 Aivres：双品牌战略的协同与差异</w:t>
      </w:r>
    </w:p>
    <w:p>
      <w:pPr>
        <w:pStyle w:val="Heading2"/>
      </w:pPr>
      <w:r>
        <w:rPr>
          <w:rFonts w:ascii="Microsoft YaHei" w:hAnsi="Microsoft YaHei" w:eastAsia="Microsoft YaHei"/>
          <w:color w:val="2C5F9E"/>
          <w:sz w:val="26"/>
        </w:rPr>
        <w:t>5.3 Kaytus 与 Aivres：双品牌战略的协同与差异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1417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维度</w:t>
            </w:r>
          </w:p>
        </w:tc>
        <w:tc>
          <w:tcPr>
            <w:tcW w:type="dxa" w:w="2551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Kaytus</w:t>
            </w:r>
          </w:p>
        </w:tc>
        <w:tc>
          <w:tcPr>
            <w:tcW w:type="dxa" w:w="2551"/>
            <w:shd w:val="clear" w:color="auto" w:fill="1F3A68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Aivres</w:t>
            </w:r>
          </w:p>
        </w:tc>
      </w:tr>
      <w:tr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注册地</w:t>
            </w:r>
          </w:p>
        </w:tc>
        <w:tc>
          <w:tcPr>
            <w:tcW w:type="dxa" w:w="255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中国香港 + 新加坡</w:t>
            </w:r>
          </w:p>
        </w:tc>
        <w:tc>
          <w:tcPr>
            <w:tcW w:type="dxa" w:w="255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美国加州圣何塞（615 N King Rd, San Jose, CA 95133）</w:t>
            </w:r>
          </w:p>
        </w:tc>
      </w:tr>
      <w:tr>
        <w:tc>
          <w:tcPr>
            <w:tcW w:type="dxa" w:w="1417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总部类型</w:t>
            </w:r>
          </w:p>
        </w:tc>
        <w:tc>
          <w:tcPr>
            <w:tcW w:type="dxa" w:w="255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新加坡（Kaytus Systems Pte. Ltd.）</w:t>
            </w:r>
          </w:p>
        </w:tc>
        <w:tc>
          <w:tcPr>
            <w:tcW w:type="dxa" w:w="255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硅谷总部 + 制造（"总部与制造均位于硅谷"）</w:t>
            </w:r>
          </w:p>
        </w:tc>
      </w:tr>
      <w:tr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工厂网络</w:t>
            </w:r>
          </w:p>
        </w:tc>
        <w:tc>
          <w:tcPr>
            <w:tcW w:type="dxa" w:w="255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美国 + 越南 + 台湾（三地制造）</w:t>
            </w:r>
          </w:p>
        </w:tc>
        <w:tc>
          <w:tcPr>
            <w:tcW w:type="dxa" w:w="255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美国加州（核心制造）</w:t>
            </w:r>
          </w:p>
        </w:tc>
      </w:tr>
      <w:tr>
        <w:tc>
          <w:tcPr>
            <w:tcW w:type="dxa" w:w="1417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员工规模</w:t>
            </w:r>
          </w:p>
        </w:tc>
        <w:tc>
          <w:tcPr>
            <w:tcW w:type="dxa" w:w="255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未公开披露</w:t>
            </w:r>
          </w:p>
        </w:tc>
        <w:tc>
          <w:tcPr>
            <w:tcW w:type="dxa" w:w="255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51—200 人（LinkedIn 17,376+ 关注者）</w:t>
            </w:r>
          </w:p>
        </w:tc>
      </w:tr>
      <w:tr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产品重点</w:t>
            </w:r>
          </w:p>
        </w:tc>
        <w:tc>
          <w:tcPr>
            <w:tcW w:type="dxa" w:w="255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通用企业级 + AI + 液冷 + AI Factory 全栈</w:t>
            </w:r>
          </w:p>
        </w:tc>
        <w:tc>
          <w:tcPr>
            <w:tcW w:type="dxa" w:w="255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AI 服务器（HGX / Blackwell）+ 数据中心方案</w:t>
            </w:r>
          </w:p>
        </w:tc>
      </w:tr>
      <w:tr>
        <w:tc>
          <w:tcPr>
            <w:tcW w:type="dxa" w:w="1417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核心 AI 服务器型号</w:t>
            </w:r>
          </w:p>
        </w:tc>
        <w:tc>
          <w:tcPr>
            <w:tcW w:type="dxa" w:w="255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KR1250 / KR2266V2 / KSManage Ultra</w:t>
            </w:r>
          </w:p>
        </w:tc>
        <w:tc>
          <w:tcPr>
            <w:tcW w:type="dxa" w:w="255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KR1250 / KR6288 / KR6288-E2 / KR5288V3 / KR9288</w:t>
            </w:r>
          </w:p>
        </w:tc>
      </w:tr>
      <w:tr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GPU 平台</w:t>
            </w:r>
          </w:p>
        </w:tc>
        <w:tc>
          <w:tcPr>
            <w:tcW w:type="dxa" w:w="255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NVIDIA HGX（H100/H200/B200/B300） + AMD MI300X/MI350 + Intel Gaudi + 国产芯片</w:t>
            </w:r>
          </w:p>
        </w:tc>
        <w:tc>
          <w:tcPr>
            <w:tcW w:type="dxa" w:w="255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NVIDIA HGX H200/Blackwell/Blackwell Ultra/GB300 NVL72 + AMD MI350P</w:t>
            </w:r>
          </w:p>
        </w:tc>
      </w:tr>
      <w:tr>
        <w:tc>
          <w:tcPr>
            <w:tcW w:type="dxa" w:w="1417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上游合作</w:t>
            </w:r>
          </w:p>
        </w:tc>
        <w:tc>
          <w:tcPr>
            <w:tcW w:type="dxa" w:w="255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Intel、AMD、NVIDIA、海光、昇腾、寒武纪</w:t>
            </w:r>
          </w:p>
        </w:tc>
        <w:tc>
          <w:tcPr>
            <w:tcW w:type="dxa" w:w="255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NVIDIA（主）+ AMD MI350P + Intel Xeon</w:t>
            </w:r>
          </w:p>
        </w:tc>
      </w:tr>
      <w:tr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核心市场</w:t>
            </w:r>
          </w:p>
        </w:tc>
        <w:tc>
          <w:tcPr>
            <w:tcW w:type="dxa" w:w="255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东南亚、中东、欧洲、澳洲、拉美</w:t>
            </w:r>
          </w:p>
        </w:tc>
        <w:tc>
          <w:tcPr>
            <w:tcW w:type="dxa" w:w="255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美国、加拿大、墨西哥</w:t>
            </w:r>
          </w:p>
        </w:tc>
      </w:tr>
      <w:tr>
        <w:tc>
          <w:tcPr>
            <w:tcW w:type="dxa" w:w="1417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代表客户</w:t>
            </w:r>
          </w:p>
        </w:tc>
        <w:tc>
          <w:tcPr>
            <w:tcW w:type="dxa" w:w="255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Serial Achieva（东盟）、Exertis Enterprise（欧美）、ECS Indo Jaya（印尼）</w:t>
            </w:r>
          </w:p>
        </w:tc>
        <w:tc>
          <w:tcPr>
            <w:tcW w:type="dxa" w:w="255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Indosat（印尼电信）、北美超大规模云厂商、AI 实验室、NTT</w:t>
            </w:r>
          </w:p>
        </w:tc>
      </w:tr>
      <w:tr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代表案例</w:t>
            </w:r>
          </w:p>
        </w:tc>
        <w:tc>
          <w:tcPr>
            <w:tcW w:type="dxa" w:w="255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ISC 2026 Gigawatt 级 AI Factory、KSManage Ultra</w:t>
            </w:r>
          </w:p>
        </w:tc>
        <w:tc>
          <w:tcPr>
            <w:tcW w:type="dxa" w:w="255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GB200 印尼 Indosat 案（2,304 颗 Blackwell 芯片）、AMD Venice 平台</w:t>
            </w:r>
          </w:p>
        </w:tc>
      </w:tr>
      <w:tr>
        <w:tc>
          <w:tcPr>
            <w:tcW w:type="dxa" w:w="1417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品牌曝光渠道</w:t>
            </w:r>
          </w:p>
        </w:tc>
        <w:tc>
          <w:tcPr>
            <w:tcW w:type="dxa" w:w="255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LinkedIn 2,269+、X @KAYTUS_、Interop Tokyo、ISC、Computex</w:t>
            </w:r>
          </w:p>
        </w:tc>
        <w:tc>
          <w:tcPr>
            <w:tcW w:type="dxa" w:w="255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LinkedIn 17,376+、Aivres.com、arccompute.io、ServeTheHome</w:t>
            </w:r>
          </w:p>
        </w:tc>
      </w:tr>
      <w:tr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合规风险</w:t>
            </w:r>
          </w:p>
        </w:tc>
        <w:tc>
          <w:tcPr>
            <w:tcW w:type="dxa" w:w="255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中（HPE 专利诉讼涉及）</w:t>
            </w:r>
          </w:p>
        </w:tc>
        <w:tc>
          <w:tcPr>
            <w:tcW w:type="dxa" w:w="2551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高（HPE 诉讼 + 出口管制双重 + 灰色转运风险）</w:t>
            </w:r>
          </w:p>
        </w:tc>
      </w:tr>
      <w:tr>
        <w:tc>
          <w:tcPr>
            <w:tcW w:type="dxa" w:w="1417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战略角色</w:t>
            </w:r>
          </w:p>
        </w:tc>
        <w:tc>
          <w:tcPr>
            <w:tcW w:type="dxa" w:w="255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Inspur 在全球的合规"防火墙" + "创新策源地"</w:t>
            </w:r>
          </w:p>
        </w:tc>
        <w:tc>
          <w:tcPr>
            <w:tcW w:type="dxa" w:w="2551"/>
            <w:shd w:val="clear" w:color="auto" w:fill="F2F6FB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Inspur 在北美的"本土分身" + "AI 高端品牌"</w:t>
            </w:r>
          </w:p>
        </w:tc>
      </w:tr>
    </w:tbl>
    <w:p/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两者在战略上形成"全球 + 北美"的双品牌矩阵：——区域分工：Kaytus 覆盖 Inspur 不能或不便直接服务的市场（东南亚、中东、欧洲、澳洲、拉美），Aivres 则聚焦美国本土市场，避免"区域空白"或"区域过度集中"；——产品分工：Kaytus 强调全栈、开放、绿色、液冷，覆盖通用与 AI 全场景；Aivres 则更聚焦 AI 训练与推理的高端 GPU 服务器，借力英伟达 + AMD 双供应链，对冲单一供应商风险；——合规分工：Kaytus 通过香港/新加坡注册降低中国大陆身份暴露，Aivres 通过美国本土注册获得"原产美国"身份，两者形成"亚太双核 + 美洲一核"的三地合规架构。</w:t>
      </w:r>
    </w:p>
    <w:p>
      <w:pPr>
        <w:pStyle w:val="Heading2"/>
      </w:pPr>
      <w:r>
        <w:rPr>
          <w:rFonts w:ascii="Microsoft YaHei" w:hAnsi="Microsoft YaHei" w:eastAsia="Microsoft YaHei"/>
          <w:color w:val="2C5F9E"/>
          <w:sz w:val="26"/>
        </w:rPr>
        <w:t>5.5 Kaytus / Aivres 与 Inspur 的关系：HPE 诉讼视角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2024 年 4 月 18 日，HPE 在美国法院对 Inspur Group 提起专利侵权与欺骗性商业行为诉讼。诉状关键信息如下：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——同一产品多品牌销售：Inspur NF5280M5 在美国以 Aivres KR2280-X1 销售；Aivres KR2280-X2 与 KAYTUS KR2280V2 在产品照片、技术规格上完全一致；Inspur IR5280M6 与 Aivres 5280M6 仅前缀不同。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——被指控的目的：HPE 认为 Inspur 集团通过更换品牌名称在美国销售相同产品，以规避出口限制与 HPE 的专利权。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——诉讼的意义：此案揭示了 Inspur → Aivres / KAYTUS 多品牌运营的"灰色合规"性质，也凸显了公司"品牌隔离"策略的两面性——一方面降低了 Inspur 母品牌被制裁后的连带冲击，另一方面在专利与商业秘密层面引入了新的法律风险。业界普遍预期双方将以和解收场，但本案仍为 Inspur 系海外品牌未来的产品差异化设计与专利布局敲响警钟。</w:t>
      </w:r>
    </w:p>
    <w:p>
      <w:pPr>
        <w:pStyle w:val="Heading2"/>
      </w:pPr>
      <w:r>
        <w:rPr>
          <w:rFonts w:ascii="Microsoft YaHei" w:hAnsi="Microsoft YaHei" w:eastAsia="Microsoft YaHei"/>
          <w:color w:val="2C5F9E"/>
          <w:sz w:val="26"/>
        </w:rPr>
        <w:t>5.6 双品牌战略对海外业务的具体贡献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Kaytus 与 Aivres 双品牌战略对公司海外业务的贡献体现在五个维度：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第一，订单延续性。即使 Inspur 大陆、香港、台湾子公司被列入实体清单，Kaytus（香港 + 新加坡）与 Aivres（美国）仍可继续承接欧美、东南亚、中东订单，2024 年公司海外营收 122.64 亿元（+171.54%）的相当部分由这两个平台贡献。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第二，供应链对冲。Aivres 作为美国本土企业，可合法采购英伟达 H100/H200/GB200、AMD MI350 等受 EAR 管制的高算力 GPU，为 Inspur 在国产替代窗口期提供海外高端算力"过桥"通道。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第三，品牌信任建设。Kaytus 通过 ISC 2026、Interop Tokyo 等国际展会持续亮相，以独立品牌身份参与全球 AI 基础设施竞争，逐步建立"非中国厂商"的市场认知，降低欧美客户对中国品牌的政治敏感度。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第四，区域市场拓展。Aivres 借助其"美国身份"在北美深耕超大规模云厂商、AI 实验室、HPC 机构；Kaytus 在东南亚、中东、欧洲、澳洲形成全栈方案销售网络，形成对 Inspur 母品牌渠道的有效补强。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第五，研发与服务协同。Kaytus 在液冷、Gigawatt 级 AI Factory、KSManage Ultra 管理平台上的产品创新，可同步反哺 Inspur 国内业务（如元脑 SD200、All in 液冷战略），形成"海外创新 → 国内借鉴 → 国内规模化 → 海外再升级"的双向赋能闭环。</w:t>
      </w:r>
    </w:p>
    <w:p>
      <w:r>
        <w:br w:type="page"/>
      </w:r>
    </w:p>
    <w:p>
      <w:pPr>
        <w:pStyle w:val="Heading1"/>
      </w:pPr>
      <w:r>
        <w:rPr>
          <w:rFonts w:ascii="Microsoft YaHei" w:hAnsi="Microsoft YaHei" w:eastAsia="Microsoft YaHei"/>
          <w:color w:val="1F3A68"/>
          <w:sz w:val="32"/>
        </w:rPr>
        <w:t>六、风险与挑战</w:t>
      </w:r>
    </w:p>
    <w:p>
      <w:pPr>
        <w:pStyle w:val="Heading2"/>
      </w:pPr>
      <w:r>
        <w:rPr>
          <w:rFonts w:ascii="Microsoft YaHei" w:hAnsi="Microsoft YaHei" w:eastAsia="Microsoft YaHei"/>
          <w:color w:val="2C5F9E"/>
          <w:sz w:val="26"/>
        </w:rPr>
        <w:t>6.1 地缘政治与出口管制升级风险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公司海外业务面临的最大风险仍来自美国出口管制的进一步升级。若 BIS 进一步扩大实体清单范围（如扩大到更多大客户、海外合作生态）、加强直接产品规则（Foreign Direct Product Rule）适用、或通过第三国转运规则切断公司经东南亚、中东的间接供货路径，公司海外业务将面临"市场、客户、供应链"三重承压。2025 年 5 月特朗普政府"撤销 + 加码"组合拳已表明，对华 AI 芯片管制不会放松，只会以更精细化方式延续。Aivres 在 GB200 印尼案中的"灰色转运"路径一旦被认定为"反转移规避"，可能成为美方进一步制裁的依据。</w:t>
      </w:r>
    </w:p>
    <w:p>
      <w:pPr>
        <w:pStyle w:val="Heading2"/>
      </w:pPr>
      <w:r>
        <w:rPr>
          <w:rFonts w:ascii="Microsoft YaHei" w:hAnsi="Microsoft YaHei" w:eastAsia="Microsoft YaHei"/>
          <w:color w:val="2C5F9E"/>
          <w:sz w:val="26"/>
        </w:rPr>
        <w:t>6.2 上游芯片断供与国产替代节奏风险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公司高度依赖英特尔、英伟达、AMD 等海外芯片厂商，若高端 GPU 断供常态化、AI 算力供给受制，公司在欧美高端 AI 服务器市场将进一步失去竞争力。国产替代方面，海光、昇腾、寒武纪等国产芯片的性能、生态、产能仍存在差距，需要时间追赶。若国产替代节奏不及预期，公司可能出现"国内订单用国产芯片毛利下降、海外订单用进口芯片断供"的两难局面。</w:t>
      </w:r>
    </w:p>
    <w:p>
      <w:pPr>
        <w:pStyle w:val="Heading2"/>
      </w:pPr>
      <w:r>
        <w:rPr>
          <w:rFonts w:ascii="Microsoft YaHei" w:hAnsi="Microsoft YaHei" w:eastAsia="Microsoft YaHei"/>
          <w:color w:val="2C5F9E"/>
          <w:sz w:val="26"/>
        </w:rPr>
        <w:t>6.3 毛利率与议价能力风险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公司毛利率从 2019 年 11.97% 持续下行至 2025 年约 5.1%，已接近行业警戒线。AI 服务器市场虽然规模快速增长，但价格竞争激烈、毛利空间受芯片价格和汇率双向挤压；互联网大厂集中度提升进一步压缩了公司议价空间。若 2026—2027 年毛利率无法回升至 8%~10% 以上，公司净利润将持续承压，ROE 难以显著改善。Kaytus / Aivres 平台的运营成本、专利诉讼成本与品牌建设投入亦会进一步影响海外业务的盈利贡献。</w:t>
      </w:r>
    </w:p>
    <w:p>
      <w:pPr>
        <w:pStyle w:val="Heading2"/>
      </w:pPr>
      <w:r>
        <w:rPr>
          <w:rFonts w:ascii="Microsoft YaHei" w:hAnsi="Microsoft YaHei" w:eastAsia="Microsoft YaHei"/>
          <w:color w:val="2C5F9E"/>
          <w:sz w:val="26"/>
        </w:rPr>
        <w:t>6.4 现金流与应收账款风险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公司经营性现金流长期为负（2024H1 -45.01 亿、2025 前三季 -125.74 亿），应收账款规模庞大（2024 年中报应收账款/利润比 763.63%）。在 AI 算力放量期，公司需大规模备货、预付芯片采购款，现金流压力较大。若下游客户回款周期延长、或银行融资成本上升，公司可能面临阶段性流动性压力。</w:t>
      </w:r>
    </w:p>
    <w:p>
      <w:pPr>
        <w:pStyle w:val="Heading2"/>
      </w:pPr>
      <w:r>
        <w:rPr>
          <w:rFonts w:ascii="Microsoft YaHei" w:hAnsi="Microsoft YaHei" w:eastAsia="Microsoft YaHei"/>
          <w:color w:val="2C5F9E"/>
          <w:sz w:val="26"/>
        </w:rPr>
        <w:t>6.5 海外汇率与本地化合规风险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公司海外业务以美元、欧元结算为主，汇率波动直接影响毛利与净利润。同时，GDPR、CCPA、各国数据本地化要求、AI Act 等合规要求日趋严格，公司海外业务的合规成本上升。若本地化合规能力跟不上，部分海外市场可能逐步退出。HPE 诉讼、品牌透明度要求、第三国转运禁令等新型合规议题也对 Kaytus、Aivres 等海外平台提出更高要求。</w:t>
      </w:r>
    </w:p>
    <w:p>
      <w:r>
        <w:br w:type="page"/>
      </w:r>
    </w:p>
    <w:p>
      <w:pPr>
        <w:pStyle w:val="Heading1"/>
      </w:pPr>
      <w:r>
        <w:rPr>
          <w:rFonts w:ascii="Microsoft YaHei" w:hAnsi="Microsoft YaHei" w:eastAsia="Microsoft YaHei"/>
          <w:color w:val="1F3A68"/>
          <w:sz w:val="32"/>
        </w:rPr>
        <w:t>七、未来展望与战略建议</w:t>
      </w:r>
    </w:p>
    <w:p>
      <w:pPr>
        <w:pStyle w:val="Heading2"/>
      </w:pPr>
      <w:r>
        <w:rPr>
          <w:rFonts w:ascii="Microsoft YaHei" w:hAnsi="Microsoft YaHei" w:eastAsia="Microsoft YaHei"/>
          <w:color w:val="2C5F9E"/>
          <w:sz w:val="26"/>
        </w:rPr>
        <w:t>7.1 整体业绩展望：盈利质量改善窗口期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展望 2026 下半年至 2027 年，公司业绩有望进入"营收高增 + 盈利修复"双优阶段：（1）DeepSeek 等开源大模型驱动一体机需求 2025—2027 年 15/39/72 万台，公司作为头部供应商有望持续受益；（2）国产 GPU 替代率持续提升，单位毛利率有望回升；（3）液冷与高端 AI 服务器占比提升，产品结构升级；（4）海外业务通过 Kaytus、Aivres 等双品牌平台与东南亚/中东/欧洲本地化运营逐步对冲美国市场损失。基于 2026H1 实际业绩（归母净利润 29.52 亿元，同比+269.59%），全年净利润有望突破 55~60 亿元，对应营收若维持 1,700~2,000 亿元规模，净利率有望从 1.5% 提升至 3%~3.5%，盈利能力修复斜率显著超出此前预期。</w:t>
      </w:r>
    </w:p>
    <w:p>
      <w:pPr>
        <w:pStyle w:val="Heading2"/>
      </w:pPr>
      <w:r>
        <w:rPr>
          <w:rFonts w:ascii="Microsoft YaHei" w:hAnsi="Microsoft YaHei" w:eastAsia="Microsoft YaHei"/>
          <w:color w:val="2C5F9E"/>
          <w:sz w:val="26"/>
        </w:rPr>
        <w:t>7.2 海外业务展望：双品牌驱动的全球化 2.0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海外业务建议采用"Kaytus（全球）+ Aivres（北美）双品牌驱动的全球化 2.0"战略：——Kaytus 平台：定位为 Inspur 在全球市场的"合规防火墙 + 创新策源地"，重点突破东南亚、中东、中东欧、拉美、非洲等对美技术敏感度低的市场，并持续在欧洲、日本、澳洲等成熟市场通过 ISC、Interop、Computex 等国际展会建立品牌认知；——Aivres 平台：在严格合规前提下深耕北美超大规模云市场与 AI 实验室市场，通过英伟达 + AMD 双供应链对冲单一供应商风险，并通过差异化产品设计与专利布局化解 HPE 等诉讼风险；——双品牌协同：Kaytus 侧重通用、液冷、AI Factory 全栈方案；Aivres 侧重高端 AI 训练/推理服务器；两者共享 Inspur 母公司的研发与制造资源，但保持产品、营销、法务的独立性。</w:t>
      </w:r>
    </w:p>
    <w:p>
      <w:pPr>
        <w:pStyle w:val="Heading2"/>
      </w:pPr>
      <w:r>
        <w:rPr>
          <w:rFonts w:ascii="Microsoft YaHei" w:hAnsi="Microsoft YaHei" w:eastAsia="Microsoft YaHei"/>
          <w:color w:val="2C5F9E"/>
          <w:sz w:val="26"/>
        </w:rPr>
        <w:t>7.3 战略建议：对公司、投资机构与合作伙伴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对公司：（1）加速国产替代与"非美算力"AI 服务器产品线建设，形成对英伟达体系的事实备份；（2）将海外业务从"出口贸易"升级为"本地化运营 + 区域制造 + 服务生态"，提升毛利率与抗风险能力；（3）强化 Kaytus、Aivres 平台的产品差异化设计、专利布局与法务合规体系，降低品牌隔离策略的法律风险；（4）通过 H 股、海外发债、产业基金等多元化融资工具，降低对单一资本市场的依赖。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对投资机构：（1）短期看 2026H1 业绩兑现度（已实际归母 29.52 亿元、+269.59%）与 Q3/Q4 毛利率改善幅度；（2）中期跟踪国产 GPU 替代率、一体机销量、Kaytus / Aivres 双平台订单与品牌进展、HPE 诉讼走向；（3）长期关注公司从"硬件厂商"向"AI 算力全栈服务商"的转型成效；（4）重点关注应收账款、经营性现金流、汇率波动等财务风险指标。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对合作伙伴：（1）服务器渠道商应加快从"贸易型"向"解决方案型"升级，提升本地认证、合规、技术服务能力；（2）国产芯片厂商应与公司加强协同，在 OAM、DCU 等标准上形成统一生态，共同应对英伟达体系；（3）海外本地集成商应与公司共建合资或独家合作关系，抢占新兴市场智算中心建设红利。</w:t>
      </w:r>
    </w:p>
    <w:p>
      <w:r>
        <w:br w:type="page"/>
      </w:r>
    </w:p>
    <w:p>
      <w:pPr>
        <w:pStyle w:val="Heading1"/>
      </w:pPr>
      <w:r>
        <w:rPr>
          <w:rFonts w:ascii="Microsoft YaHei" w:hAnsi="Microsoft YaHei" w:eastAsia="Microsoft YaHei"/>
          <w:color w:val="1F3A68"/>
          <w:sz w:val="32"/>
        </w:rPr>
        <w:t>八、结 论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2024—2026 年是浪潮信息身处 AI 算力爆发与中美科技脱钩深度博弈的三年。公司在此期间交出了一份"营收大跃升 + 利润强反转 + 海外承压重塑"的复杂答卷：整体营收由 2023 年约 660 亿元跃升至 2025 年 1,647.82 亿元、2026H1 实际达 843.79 亿元（+5.22%）；归母净利润 2026H1 实际达 29.52 亿元、同比+269.59%（创上市以来单季历史新高）；海外营收占比一度突破 29%，随后在 2025 年制裁冲击下增速放缓但仍维持约 23%~25% 的高占比；毛利率经历下行探底至 2025 年约 5.1%，2026 年起进入修复期。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海外业务是这三年最具张力的板块：既是 2024 年最重要的增长引擎，也是 2025 年最大的风险敞口。公司通过 11 个海外营销机构、JDM 联合开发模式、"非美算力"产品线、本地化合规体系，以及 Kaytus（全球品牌）、Aivres（北美子公司）等双品牌平台，在维持海外营收占比的同时逐步化解制裁冲击。展望 2026 下半年至 2027 年，海外业务的核心命题将从"抗冲击"转向"再增长"——通过东南亚、中东、中东欧、拉美、非洲等新兴市场，通过"AI 服务器 + 国产芯片 + 开源模型"的差异化方案，通过 Kaytus、Aivres 双品牌的深度本地化运营与服务生态建设，实现海外业务从"规模导向"向"质量与韧性导向"的战略升级。</w:t>
      </w:r>
    </w:p>
    <w:p>
      <w:pPr>
        <w:spacing w:after="80" w:line="360" w:lineRule="auto"/>
        <w:ind w:firstLine="420"/>
        <w:jc w:val="left"/>
      </w:pPr>
      <w:r>
        <w:rPr>
          <w:rFonts w:ascii="Microsoft YaHei" w:hAnsi="Microsoft YaHei" w:eastAsia="Microsoft YaHei"/>
          <w:b w:val="0"/>
          <w:i w:val="0"/>
          <w:sz w:val="21"/>
        </w:rPr>
        <w:t>在中美科技博弈长期化的大背景下，浪潮信息的故事是观察中国算力企业如何在"规模优势"与"地缘风险"之间寻找动态平衡的典型样本。Kaytus 与 Aivres 作为公司海外"防火墙 + 创新策源地"的双品牌平台，其未来发展将直接决定公司全球化的深度与韧性。公司能否在国产替代、全球化 2.0、AI 算力全栈服务、双品牌合规运营四个维度上完成关键跨越，将是 2026—2028 年最值得关注的战略看点。</w:t>
      </w:r>
    </w:p>
    <w:p>
      <w:pPr>
        <w:pStyle w:val="Heading3"/>
      </w:pPr>
      <w:r>
        <w:rPr>
          <w:rFonts w:ascii="Microsoft YaHei" w:hAnsi="Microsoft YaHei" w:eastAsia="Microsoft YaHei"/>
          <w:color w:val="333333"/>
          <w:sz w:val="23"/>
        </w:rPr>
        <w:t>附：报告说明与免责</w:t>
      </w:r>
    </w:p>
    <w:p>
      <w:pPr>
        <w:spacing w:after="80" w:line="360" w:lineRule="auto"/>
        <w:ind w:firstLine="420"/>
        <w:jc w:val="both"/>
      </w:pPr>
      <w:r>
        <w:rPr>
          <w:rFonts w:ascii="Microsoft YaHei" w:hAnsi="Microsoft YaHei" w:eastAsia="Microsoft YaHei"/>
          <w:b w:val="0"/>
          <w:i w:val="0"/>
          <w:sz w:val="21"/>
        </w:rPr>
        <w:t>本报告基于公司公开披露的财务报告、半年报、业绩预告、监管文件、行业研究及权威媒体报道整理分析。部分海外业务数据为基于公司年报披露的合理估算，Kaytus 与 Aivres 章节综合参考公司公告、官网、LinkedIn 资料、《华尔街日报》、HPE 诉状、ISC 2026 等公开信息；具体细分数据以公司正式年报披露为准。报告中关于行业前景、技术演进、政策影响的判断为分析师独立观点，不构成任何投资建议。投资者据此决策，风险自担。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 w:eastAsia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